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F0281" w14:textId="77777777" w:rsidR="007C628B" w:rsidRPr="009225EE" w:rsidRDefault="00685CB2" w:rsidP="007C628B">
      <w:pPr>
        <w:rPr>
          <w:rFonts w:cs="Arial"/>
          <w:sz w:val="24"/>
          <w:szCs w:val="24"/>
        </w:rPr>
      </w:pPr>
      <w:r w:rsidRPr="007247DF">
        <w:rPr>
          <w:noProof/>
          <w:lang w:eastAsia="en-GB"/>
        </w:rPr>
        <w:drawing>
          <wp:inline distT="0" distB="0" distL="0" distR="0" wp14:anchorId="5ACE951D" wp14:editId="148CDF36">
            <wp:extent cx="2559277" cy="684000"/>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orfield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9277" cy="684000"/>
                    </a:xfrm>
                    <a:prstGeom prst="rect">
                      <a:avLst/>
                    </a:prstGeom>
                  </pic:spPr>
                </pic:pic>
              </a:graphicData>
            </a:graphic>
          </wp:inline>
        </w:drawing>
      </w:r>
    </w:p>
    <w:p w14:paraId="4C400879" w14:textId="77777777" w:rsidR="007C628B" w:rsidRPr="009225EE" w:rsidRDefault="007C628B" w:rsidP="007C628B">
      <w:pPr>
        <w:rPr>
          <w:rFonts w:cs="Arial"/>
          <w:sz w:val="24"/>
          <w:szCs w:val="24"/>
        </w:rPr>
      </w:pPr>
    </w:p>
    <w:p w14:paraId="4F91DC3A" w14:textId="77777777" w:rsidR="006908C3" w:rsidRDefault="006908C3" w:rsidP="006908C3">
      <w:pPr>
        <w:rPr>
          <w:rFonts w:cs="Arial"/>
          <w:sz w:val="24"/>
          <w:szCs w:val="24"/>
        </w:rPr>
      </w:pPr>
    </w:p>
    <w:p w14:paraId="73FA3D16" w14:textId="77777777" w:rsidR="008D06A5" w:rsidRDefault="008D06A5" w:rsidP="006908C3">
      <w:pPr>
        <w:rPr>
          <w:rFonts w:cs="Arial"/>
          <w:b/>
          <w:sz w:val="24"/>
          <w:szCs w:val="24"/>
        </w:rPr>
      </w:pPr>
    </w:p>
    <w:p w14:paraId="62066A1A" w14:textId="77777777" w:rsidR="008D06A5" w:rsidRDefault="008D06A5" w:rsidP="006908C3">
      <w:pPr>
        <w:rPr>
          <w:rFonts w:cs="Arial"/>
          <w:b/>
          <w:sz w:val="24"/>
          <w:szCs w:val="24"/>
        </w:rPr>
      </w:pPr>
    </w:p>
    <w:p w14:paraId="2B21640D" w14:textId="77777777" w:rsidR="008D06A5" w:rsidRDefault="008D06A5" w:rsidP="006908C3">
      <w:pPr>
        <w:rPr>
          <w:rFonts w:cs="Arial"/>
          <w:b/>
          <w:sz w:val="24"/>
          <w:szCs w:val="24"/>
        </w:rPr>
      </w:pPr>
    </w:p>
    <w:p w14:paraId="3B08232F" w14:textId="77777777" w:rsidR="008D06A5" w:rsidRDefault="008D06A5" w:rsidP="006908C3">
      <w:pPr>
        <w:rPr>
          <w:rFonts w:cs="Arial"/>
          <w:b/>
          <w:sz w:val="24"/>
          <w:szCs w:val="24"/>
        </w:rPr>
      </w:pPr>
    </w:p>
    <w:p w14:paraId="423AA175" w14:textId="77777777" w:rsidR="008D06A5" w:rsidRDefault="008D06A5" w:rsidP="006908C3">
      <w:pPr>
        <w:rPr>
          <w:rFonts w:cs="Arial"/>
          <w:b/>
          <w:sz w:val="24"/>
          <w:szCs w:val="24"/>
        </w:rPr>
      </w:pPr>
    </w:p>
    <w:p w14:paraId="5E50E81C" w14:textId="77777777" w:rsidR="008D06A5" w:rsidRDefault="008D06A5" w:rsidP="006908C3">
      <w:pPr>
        <w:rPr>
          <w:rFonts w:cs="Arial"/>
          <w:b/>
          <w:sz w:val="24"/>
          <w:szCs w:val="24"/>
        </w:rPr>
      </w:pPr>
    </w:p>
    <w:p w14:paraId="60E55582" w14:textId="77777777" w:rsidR="008D06A5" w:rsidRDefault="008D06A5" w:rsidP="006908C3">
      <w:pPr>
        <w:rPr>
          <w:rFonts w:cs="Arial"/>
          <w:b/>
          <w:sz w:val="24"/>
          <w:szCs w:val="24"/>
        </w:rPr>
      </w:pPr>
    </w:p>
    <w:p w14:paraId="590E462D" w14:textId="77777777" w:rsidR="008D06A5" w:rsidRDefault="008D06A5" w:rsidP="006908C3">
      <w:pPr>
        <w:rPr>
          <w:rFonts w:cs="Arial"/>
          <w:b/>
          <w:sz w:val="24"/>
          <w:szCs w:val="24"/>
        </w:rPr>
      </w:pPr>
    </w:p>
    <w:p w14:paraId="13A7000C" w14:textId="77777777" w:rsidR="008D06A5" w:rsidRDefault="008D06A5" w:rsidP="006908C3">
      <w:pPr>
        <w:rPr>
          <w:rFonts w:cs="Arial"/>
          <w:b/>
          <w:sz w:val="24"/>
          <w:szCs w:val="24"/>
        </w:rPr>
      </w:pPr>
    </w:p>
    <w:p w14:paraId="08B97BB8" w14:textId="77777777" w:rsidR="008D06A5" w:rsidRDefault="008D06A5" w:rsidP="006908C3">
      <w:pPr>
        <w:rPr>
          <w:rFonts w:cs="Arial"/>
          <w:b/>
          <w:sz w:val="24"/>
          <w:szCs w:val="24"/>
        </w:rPr>
      </w:pPr>
    </w:p>
    <w:p w14:paraId="4ECBED87" w14:textId="77777777" w:rsidR="008D06A5" w:rsidRDefault="008D06A5" w:rsidP="006908C3">
      <w:pPr>
        <w:rPr>
          <w:rFonts w:cs="Arial"/>
          <w:b/>
          <w:sz w:val="24"/>
          <w:szCs w:val="24"/>
        </w:rPr>
      </w:pPr>
    </w:p>
    <w:p w14:paraId="006429EA" w14:textId="77777777" w:rsidR="008D06A5" w:rsidRDefault="008D06A5" w:rsidP="006908C3">
      <w:pPr>
        <w:rPr>
          <w:rFonts w:cs="Arial"/>
          <w:b/>
          <w:sz w:val="24"/>
          <w:szCs w:val="24"/>
        </w:rPr>
      </w:pPr>
    </w:p>
    <w:p w14:paraId="1DA8AFA1" w14:textId="77777777" w:rsidR="008D06A5" w:rsidRDefault="008D06A5" w:rsidP="006908C3">
      <w:pPr>
        <w:rPr>
          <w:rFonts w:cs="Arial"/>
          <w:b/>
          <w:sz w:val="24"/>
          <w:szCs w:val="24"/>
        </w:rPr>
      </w:pPr>
    </w:p>
    <w:p w14:paraId="6B66811D" w14:textId="77777777" w:rsidR="008D06A5" w:rsidRDefault="008D06A5" w:rsidP="006908C3">
      <w:pPr>
        <w:rPr>
          <w:rFonts w:cs="Arial"/>
          <w:b/>
          <w:sz w:val="24"/>
          <w:szCs w:val="24"/>
        </w:rPr>
      </w:pPr>
    </w:p>
    <w:p w14:paraId="567424A7" w14:textId="77777777" w:rsidR="009225EE" w:rsidRDefault="004270BE" w:rsidP="006908C3">
      <w:pPr>
        <w:rPr>
          <w:rFonts w:cs="Arial"/>
          <w:b/>
          <w:sz w:val="24"/>
          <w:szCs w:val="24"/>
        </w:rPr>
      </w:pPr>
      <w:r>
        <w:rPr>
          <w:noProof/>
          <w:lang w:eastAsia="en-GB"/>
        </w:rPr>
        <w:lastRenderedPageBreak/>
        <w:drawing>
          <wp:anchor distT="0" distB="0" distL="114300" distR="114300" simplePos="0" relativeHeight="251661312" behindDoc="0" locked="0" layoutInCell="1" allowOverlap="1" wp14:anchorId="7CEB4E26" wp14:editId="6A2212DF">
            <wp:simplePos x="0" y="0"/>
            <wp:positionH relativeFrom="margin">
              <wp:posOffset>5057775</wp:posOffset>
            </wp:positionH>
            <wp:positionV relativeFrom="page">
              <wp:posOffset>1250950</wp:posOffset>
            </wp:positionV>
            <wp:extent cx="1925955" cy="37458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cover edge image blue.png"/>
                    <pic:cNvPicPr/>
                  </pic:nvPicPr>
                  <pic:blipFill rotWithShape="1">
                    <a:blip r:embed="rId9" cstate="print">
                      <a:extLst>
                        <a:ext uri="{28A0092B-C50C-407E-A947-70E740481C1C}">
                          <a14:useLocalDpi xmlns:a14="http://schemas.microsoft.com/office/drawing/2010/main" val="0"/>
                        </a:ext>
                      </a:extLst>
                    </a:blip>
                    <a:srcRect r="48571"/>
                    <a:stretch/>
                  </pic:blipFill>
                  <pic:spPr bwMode="auto">
                    <a:xfrm>
                      <a:off x="0" y="0"/>
                      <a:ext cx="1925955" cy="3745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E01D3">
        <w:rPr>
          <w:noProof/>
          <w:lang w:eastAsia="en-GB"/>
        </w:rPr>
        <mc:AlternateContent>
          <mc:Choice Requires="wps">
            <w:drawing>
              <wp:anchor distT="0" distB="0" distL="114300" distR="114300" simplePos="0" relativeHeight="251659264" behindDoc="0" locked="1" layoutInCell="1" allowOverlap="1" wp14:anchorId="383AD3A6" wp14:editId="6A4A388F">
                <wp:simplePos x="0" y="0"/>
                <wp:positionH relativeFrom="margin">
                  <wp:posOffset>-76200</wp:posOffset>
                </wp:positionH>
                <wp:positionV relativeFrom="margin">
                  <wp:posOffset>386080</wp:posOffset>
                </wp:positionV>
                <wp:extent cx="6645275" cy="2952750"/>
                <wp:effectExtent l="0" t="0" r="3175" b="0"/>
                <wp:wrapSquare wrapText="bothSides"/>
                <wp:docPr id="1" name="Rectangle 1"/>
                <wp:cNvGraphicFramePr/>
                <a:graphic xmlns:a="http://schemas.openxmlformats.org/drawingml/2006/main">
                  <a:graphicData uri="http://schemas.microsoft.com/office/word/2010/wordprocessingShape">
                    <wps:wsp>
                      <wps:cNvSpPr/>
                      <wps:spPr>
                        <a:xfrm>
                          <a:off x="0" y="0"/>
                          <a:ext cx="6645275" cy="29527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D07033" w14:textId="77777777" w:rsidR="004270BE" w:rsidRDefault="004270BE" w:rsidP="004270BE">
                            <w:pPr>
                              <w:pStyle w:val="ReportTitle"/>
                              <w:rPr>
                                <w:sz w:val="56"/>
                                <w:szCs w:val="56"/>
                              </w:rPr>
                            </w:pPr>
                            <w:r w:rsidRPr="004270BE">
                              <w:rPr>
                                <w:sz w:val="56"/>
                                <w:szCs w:val="56"/>
                              </w:rPr>
                              <w:t xml:space="preserve">Agenda item </w:t>
                            </w:r>
                            <w:r w:rsidR="00893A12">
                              <w:rPr>
                                <w:sz w:val="56"/>
                                <w:szCs w:val="56"/>
                              </w:rPr>
                              <w:t>XX</w:t>
                            </w:r>
                            <w:r w:rsidRPr="004270BE">
                              <w:rPr>
                                <w:sz w:val="56"/>
                                <w:szCs w:val="56"/>
                              </w:rPr>
                              <w:t xml:space="preserve"> </w:t>
                            </w:r>
                          </w:p>
                          <w:p w14:paraId="50CFAD8D" w14:textId="77777777" w:rsidR="00616481" w:rsidRPr="004270BE" w:rsidRDefault="00616481" w:rsidP="004270BE">
                            <w:pPr>
                              <w:pStyle w:val="ReportTitle"/>
                              <w:rPr>
                                <w:sz w:val="56"/>
                                <w:szCs w:val="56"/>
                              </w:rPr>
                            </w:pPr>
                          </w:p>
                          <w:p w14:paraId="7C6D3B7A" w14:textId="176645BD" w:rsidR="004270BE" w:rsidRDefault="00C91AAE" w:rsidP="004270BE">
                            <w:pPr>
                              <w:pStyle w:val="ReportTitle"/>
                              <w:rPr>
                                <w:sz w:val="56"/>
                                <w:szCs w:val="56"/>
                              </w:rPr>
                            </w:pPr>
                            <w:r>
                              <w:rPr>
                                <w:sz w:val="56"/>
                                <w:szCs w:val="56"/>
                              </w:rPr>
                              <w:t>2024 Gender Pay Gap Report</w:t>
                            </w:r>
                          </w:p>
                          <w:p w14:paraId="5C3A46EC" w14:textId="77777777" w:rsidR="00616481" w:rsidRPr="004270BE" w:rsidRDefault="00616481" w:rsidP="004270BE">
                            <w:pPr>
                              <w:pStyle w:val="ReportTitle"/>
                              <w:rPr>
                                <w:sz w:val="56"/>
                                <w:szCs w:val="56"/>
                              </w:rPr>
                            </w:pPr>
                          </w:p>
                          <w:p w14:paraId="058FA731" w14:textId="079FB26E" w:rsidR="004270BE" w:rsidRPr="004270BE" w:rsidRDefault="001E6CF2" w:rsidP="004270BE">
                            <w:pPr>
                              <w:pStyle w:val="ReportTitle"/>
                              <w:rPr>
                                <w:sz w:val="56"/>
                                <w:szCs w:val="56"/>
                              </w:rPr>
                            </w:pPr>
                            <w:r>
                              <w:rPr>
                                <w:sz w:val="56"/>
                                <w:szCs w:val="56"/>
                              </w:rPr>
                              <w:t>2</w:t>
                            </w:r>
                            <w:r w:rsidR="00D83543">
                              <w:rPr>
                                <w:sz w:val="56"/>
                                <w:szCs w:val="56"/>
                              </w:rPr>
                              <w:t>9th</w:t>
                            </w:r>
                            <w:r>
                              <w:rPr>
                                <w:sz w:val="56"/>
                                <w:szCs w:val="56"/>
                              </w:rPr>
                              <w:t xml:space="preserve"> April 2025</w:t>
                            </w:r>
                          </w:p>
                        </w:txbxContent>
                      </wps:txbx>
                      <wps:bodyPr rot="0" spcFirstLastPara="0" vertOverflow="overflow" horzOverflow="overflow" vert="horz" wrap="square" lIns="14400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AD3A6" id="Rectangle 1" o:spid="_x0000_s1026" style="position:absolute;margin-left:-6pt;margin-top:30.4pt;width:523.2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wfcQIAADkFAAAOAAAAZHJzL2Uyb0RvYy54bWysVMFu2zAMvQ/YPwi6r3aCpO2COkWQosOA&#10;oi3WDj0rshQbkEWNUmJnXz9KdpyiLXYY5oNMiuQj9UTq6rprDNsr9DXYgk/Ocs6UlVDWdlvwn8+3&#10;Xy4580HYUhiwquAH5fn18vOnq9Yt1BQqMKVCRiDWL1pX8CoEt8gyLyvVCH8GTlkyasBGBFJxm5Uo&#10;WkJvTDbN8/OsBSwdglTe0+5Nb+TLhK+1kuFBa68CMwWn2kJaMa2buGbLK7HYonBVLYcyxD9U0Yja&#10;UtIR6kYEwXZYv4NqaongQYczCU0GWtdSpTPQaSb5m9M8VcKpdBYix7uRJv//YOX9/sk9ItHQOr/w&#10;JMZTdBqb+Kf6WJfIOoxkqS4wSZvn57P59GLOmSTb9GuUE53ZKdyhD98UNCwKBUe6jUSS2N/5QCnJ&#10;9egSsxkbVwu3tTG9Ne5kp8KSFA5G9d4/lGZ1SaVME2rqGbU2yPaCbltIqWyY9KZKlKrfnuf0xWun&#10;5GNE0owlwIisKf+IPQDEfnyP3cMM/jFUpZYbg/O/FdYHjxEpM9gwBje1BfwIwNCphsy9/5GknprI&#10;Uug2HblEcQPl4REZQt/73snbmq7jTvjwKJCancaCBjg80KINtAWHQeKsAvz90X70px4kK2ctDU/B&#10;/a+dQMWZ+W6pOyezWWSZhaTN5hdTUrA35ZfJtHltsrtmDXRnE3osnExiDAjmKGqE5oUmfRXzkklY&#10;SdkLLgMelXXox5reCqlWq+RGM+ZEuLNPTkbwSHFsuOfuRaAbujJQQ9/DcdTE4k1z9r4x0sJqF0DX&#10;qXNPzA7k03ymLhrekvgAvNaT1+nFW/4BAAD//wMAUEsDBBQABgAIAAAAIQCCzy213wAAAAsBAAAP&#10;AAAAZHJzL2Rvd25yZXYueG1sTI9BT8JAEIXvJv6HzZh4IbBLoVBrt8SYGLwCynnojm1jd7bpLlD/&#10;vctJj5N5ee/7is1oO3GhwbeONcxnCgRx5UzLtYaPw9s0A+EDssHOMWn4IQ+b8v6uwNy4K+/osg+1&#10;iCXsc9TQhNDnUvqqIYt+5nri+Ptyg8UQz6GWZsBrLLedTJRaSYstx4UGe3ptqPren60GmmTbsLZ4&#10;mLwfl58797RVuGCtHx/Gl2cQgcbwF4YbfkSHMjKd3JmNF52G6TyJLkHDSkWFW0AtlimIk4Y0STOQ&#10;ZSH/O5S/AAAA//8DAFBLAQItABQABgAIAAAAIQC2gziS/gAAAOEBAAATAAAAAAAAAAAAAAAAAAAA&#10;AABbQ29udGVudF9UeXBlc10ueG1sUEsBAi0AFAAGAAgAAAAhADj9If/WAAAAlAEAAAsAAAAAAAAA&#10;AAAAAAAALwEAAF9yZWxzLy5yZWxzUEsBAi0AFAAGAAgAAAAhABAszB9xAgAAOQUAAA4AAAAAAAAA&#10;AAAAAAAALgIAAGRycy9lMm9Eb2MueG1sUEsBAi0AFAAGAAgAAAAhAILPLbXfAAAACwEAAA8AAAAA&#10;AAAAAAAAAAAAywQAAGRycy9kb3ducmV2LnhtbFBLBQYAAAAABAAEAPMAAADXBQAAAAA=&#10;" fillcolor="#4f81bd [3204]" stroked="f" strokeweight="2pt">
                <v:textbox inset="4mm,,3mm">
                  <w:txbxContent>
                    <w:p w14:paraId="69D07033" w14:textId="77777777" w:rsidR="004270BE" w:rsidRDefault="004270BE" w:rsidP="004270BE">
                      <w:pPr>
                        <w:pStyle w:val="ReportTitle"/>
                        <w:rPr>
                          <w:sz w:val="56"/>
                          <w:szCs w:val="56"/>
                        </w:rPr>
                      </w:pPr>
                      <w:r w:rsidRPr="004270BE">
                        <w:rPr>
                          <w:sz w:val="56"/>
                          <w:szCs w:val="56"/>
                        </w:rPr>
                        <w:t xml:space="preserve">Agenda item </w:t>
                      </w:r>
                      <w:r w:rsidR="00893A12">
                        <w:rPr>
                          <w:sz w:val="56"/>
                          <w:szCs w:val="56"/>
                        </w:rPr>
                        <w:t>XX</w:t>
                      </w:r>
                      <w:r w:rsidRPr="004270BE">
                        <w:rPr>
                          <w:sz w:val="56"/>
                          <w:szCs w:val="56"/>
                        </w:rPr>
                        <w:t xml:space="preserve"> </w:t>
                      </w:r>
                    </w:p>
                    <w:p w14:paraId="50CFAD8D" w14:textId="77777777" w:rsidR="00616481" w:rsidRPr="004270BE" w:rsidRDefault="00616481" w:rsidP="004270BE">
                      <w:pPr>
                        <w:pStyle w:val="ReportTitle"/>
                        <w:rPr>
                          <w:sz w:val="56"/>
                          <w:szCs w:val="56"/>
                        </w:rPr>
                      </w:pPr>
                    </w:p>
                    <w:p w14:paraId="7C6D3B7A" w14:textId="176645BD" w:rsidR="004270BE" w:rsidRDefault="00C91AAE" w:rsidP="004270BE">
                      <w:pPr>
                        <w:pStyle w:val="ReportTitle"/>
                        <w:rPr>
                          <w:sz w:val="56"/>
                          <w:szCs w:val="56"/>
                        </w:rPr>
                      </w:pPr>
                      <w:r>
                        <w:rPr>
                          <w:sz w:val="56"/>
                          <w:szCs w:val="56"/>
                        </w:rPr>
                        <w:t>2024 Gender Pay Gap Report</w:t>
                      </w:r>
                    </w:p>
                    <w:p w14:paraId="5C3A46EC" w14:textId="77777777" w:rsidR="00616481" w:rsidRPr="004270BE" w:rsidRDefault="00616481" w:rsidP="004270BE">
                      <w:pPr>
                        <w:pStyle w:val="ReportTitle"/>
                        <w:rPr>
                          <w:sz w:val="56"/>
                          <w:szCs w:val="56"/>
                        </w:rPr>
                      </w:pPr>
                    </w:p>
                    <w:p w14:paraId="058FA731" w14:textId="079FB26E" w:rsidR="004270BE" w:rsidRPr="004270BE" w:rsidRDefault="001E6CF2" w:rsidP="004270BE">
                      <w:pPr>
                        <w:pStyle w:val="ReportTitle"/>
                        <w:rPr>
                          <w:sz w:val="56"/>
                          <w:szCs w:val="56"/>
                        </w:rPr>
                      </w:pPr>
                      <w:r>
                        <w:rPr>
                          <w:sz w:val="56"/>
                          <w:szCs w:val="56"/>
                        </w:rPr>
                        <w:t>2</w:t>
                      </w:r>
                      <w:r w:rsidR="00D83543">
                        <w:rPr>
                          <w:sz w:val="56"/>
                          <w:szCs w:val="56"/>
                        </w:rPr>
                        <w:t>9th</w:t>
                      </w:r>
                      <w:r>
                        <w:rPr>
                          <w:sz w:val="56"/>
                          <w:szCs w:val="56"/>
                        </w:rPr>
                        <w:t xml:space="preserve"> April 2025</w:t>
                      </w:r>
                    </w:p>
                  </w:txbxContent>
                </v:textbox>
                <w10:wrap type="square" anchorx="margin" anchory="margin"/>
                <w10:anchorlock/>
              </v:rect>
            </w:pict>
          </mc:Fallback>
        </mc:AlternateContent>
      </w:r>
    </w:p>
    <w:p w14:paraId="40AF02E5" w14:textId="77777777" w:rsidR="009225EE" w:rsidRDefault="009225EE" w:rsidP="009225EE">
      <w:pPr>
        <w:spacing w:after="0" w:line="240" w:lineRule="auto"/>
        <w:jc w:val="right"/>
        <w:rPr>
          <w:rFonts w:cs="Arial"/>
          <w:b/>
          <w:sz w:val="24"/>
          <w:szCs w:val="24"/>
        </w:rPr>
      </w:pPr>
    </w:p>
    <w:p w14:paraId="150ED812" w14:textId="77777777" w:rsidR="00C63EF3" w:rsidRDefault="00C63EF3" w:rsidP="00685CB2">
      <w:pPr>
        <w:spacing w:after="0" w:line="240" w:lineRule="auto"/>
        <w:rPr>
          <w:rFonts w:cs="Arial"/>
          <w:b/>
          <w:sz w:val="24"/>
          <w:szCs w:val="24"/>
        </w:rPr>
      </w:pPr>
    </w:p>
    <w:p w14:paraId="7583EBF3" w14:textId="77777777" w:rsidR="00C63EF3" w:rsidRPr="009225EE" w:rsidRDefault="00C63EF3" w:rsidP="009225EE">
      <w:pPr>
        <w:spacing w:after="0" w:line="240" w:lineRule="auto"/>
        <w:jc w:val="right"/>
        <w:rPr>
          <w:rFonts w:cs="Arial"/>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7120"/>
      </w:tblGrid>
      <w:tr w:rsidR="00133B51" w:rsidRPr="00CE7F7E" w14:paraId="39F1F765" w14:textId="77777777" w:rsidTr="003F38FF">
        <w:tc>
          <w:tcPr>
            <w:tcW w:w="2944" w:type="dxa"/>
            <w:tcBorders>
              <w:top w:val="single" w:sz="4" w:space="0" w:color="auto"/>
              <w:left w:val="single" w:sz="4" w:space="0" w:color="auto"/>
              <w:bottom w:val="single" w:sz="4" w:space="0" w:color="auto"/>
              <w:right w:val="single" w:sz="4" w:space="0" w:color="auto"/>
            </w:tcBorders>
            <w:hideMark/>
          </w:tcPr>
          <w:p w14:paraId="60FFB912" w14:textId="77777777" w:rsidR="00133B51" w:rsidRPr="00CE7F7E" w:rsidRDefault="00133B51" w:rsidP="007C628B">
            <w:pPr>
              <w:spacing w:before="20" w:after="20"/>
              <w:rPr>
                <w:rFonts w:cs="Arial"/>
                <w:b/>
              </w:rPr>
            </w:pPr>
            <w:r w:rsidRPr="00CE7F7E">
              <w:rPr>
                <w:rFonts w:cs="Arial"/>
                <w:b/>
              </w:rPr>
              <w:t>Report title</w:t>
            </w:r>
          </w:p>
        </w:tc>
        <w:tc>
          <w:tcPr>
            <w:tcW w:w="7120" w:type="dxa"/>
            <w:tcBorders>
              <w:top w:val="single" w:sz="4" w:space="0" w:color="auto"/>
              <w:left w:val="single" w:sz="4" w:space="0" w:color="auto"/>
              <w:bottom w:val="single" w:sz="4" w:space="0" w:color="auto"/>
              <w:right w:val="single" w:sz="4" w:space="0" w:color="auto"/>
            </w:tcBorders>
          </w:tcPr>
          <w:p w14:paraId="4D6BC1AD" w14:textId="4E458BE1" w:rsidR="00133B51" w:rsidRPr="00CE7F7E" w:rsidRDefault="00EA5B3A" w:rsidP="0071552D">
            <w:pPr>
              <w:spacing w:before="20" w:after="20"/>
              <w:rPr>
                <w:rFonts w:cs="Arial"/>
                <w:b/>
              </w:rPr>
            </w:pPr>
            <w:r>
              <w:rPr>
                <w:rFonts w:cs="Arial"/>
                <w:b/>
              </w:rPr>
              <w:t>2024 Gender Pay Gap Report</w:t>
            </w:r>
          </w:p>
        </w:tc>
      </w:tr>
      <w:tr w:rsidR="00133B51" w:rsidRPr="00CE7F7E" w14:paraId="3F3E935E" w14:textId="77777777" w:rsidTr="003F38FF">
        <w:tc>
          <w:tcPr>
            <w:tcW w:w="2944" w:type="dxa"/>
            <w:tcBorders>
              <w:top w:val="single" w:sz="4" w:space="0" w:color="auto"/>
              <w:left w:val="single" w:sz="4" w:space="0" w:color="auto"/>
              <w:bottom w:val="single" w:sz="4" w:space="0" w:color="auto"/>
              <w:right w:val="single" w:sz="4" w:space="0" w:color="auto"/>
            </w:tcBorders>
            <w:hideMark/>
          </w:tcPr>
          <w:p w14:paraId="12ACA69A" w14:textId="77777777" w:rsidR="00133B51" w:rsidRPr="00CE7F7E" w:rsidRDefault="00133B51" w:rsidP="000179B6">
            <w:pPr>
              <w:spacing w:before="20" w:after="20"/>
              <w:rPr>
                <w:rFonts w:cs="Arial"/>
                <w:b/>
              </w:rPr>
            </w:pPr>
            <w:r w:rsidRPr="00CE7F7E">
              <w:rPr>
                <w:rFonts w:cs="Arial"/>
                <w:b/>
              </w:rPr>
              <w:t>Report from</w:t>
            </w:r>
          </w:p>
        </w:tc>
        <w:tc>
          <w:tcPr>
            <w:tcW w:w="7120" w:type="dxa"/>
            <w:tcBorders>
              <w:top w:val="single" w:sz="4" w:space="0" w:color="auto"/>
              <w:left w:val="single" w:sz="4" w:space="0" w:color="auto"/>
              <w:bottom w:val="single" w:sz="4" w:space="0" w:color="auto"/>
              <w:right w:val="single" w:sz="4" w:space="0" w:color="auto"/>
            </w:tcBorders>
          </w:tcPr>
          <w:p w14:paraId="04800B4F" w14:textId="370E9877" w:rsidR="003F38FF" w:rsidRPr="00CE7F7E" w:rsidRDefault="004B2E3F" w:rsidP="00FF2BED">
            <w:pPr>
              <w:spacing w:before="20" w:after="20"/>
              <w:rPr>
                <w:rFonts w:cs="Arial"/>
              </w:rPr>
            </w:pPr>
            <w:r>
              <w:rPr>
                <w:rFonts w:cs="Arial"/>
              </w:rPr>
              <w:t xml:space="preserve">Sue </w:t>
            </w:r>
            <w:r w:rsidR="0021380B">
              <w:rPr>
                <w:rFonts w:cs="Arial"/>
              </w:rPr>
              <w:t>S</w:t>
            </w:r>
            <w:r>
              <w:rPr>
                <w:rFonts w:cs="Arial"/>
              </w:rPr>
              <w:t>teen</w:t>
            </w:r>
            <w:r w:rsidR="003F38FF">
              <w:rPr>
                <w:rFonts w:cs="Arial"/>
              </w:rPr>
              <w:t>, Chief People Officer</w:t>
            </w:r>
          </w:p>
        </w:tc>
      </w:tr>
      <w:tr w:rsidR="003F38FF" w:rsidRPr="00CE7F7E" w14:paraId="5A32AD0E" w14:textId="77777777" w:rsidTr="003F38FF">
        <w:tc>
          <w:tcPr>
            <w:tcW w:w="2944" w:type="dxa"/>
            <w:tcBorders>
              <w:top w:val="single" w:sz="4" w:space="0" w:color="auto"/>
              <w:left w:val="single" w:sz="4" w:space="0" w:color="auto"/>
              <w:bottom w:val="single" w:sz="4" w:space="0" w:color="auto"/>
              <w:right w:val="single" w:sz="4" w:space="0" w:color="auto"/>
            </w:tcBorders>
            <w:hideMark/>
          </w:tcPr>
          <w:p w14:paraId="5EA8436E" w14:textId="77777777" w:rsidR="003F38FF" w:rsidRPr="00CE7F7E" w:rsidRDefault="003F38FF" w:rsidP="003F38FF">
            <w:pPr>
              <w:spacing w:before="20" w:after="20"/>
              <w:rPr>
                <w:rFonts w:cs="Arial"/>
                <w:b/>
              </w:rPr>
            </w:pPr>
            <w:r w:rsidRPr="00CE7F7E">
              <w:rPr>
                <w:rFonts w:cs="Arial"/>
                <w:b/>
              </w:rPr>
              <w:t xml:space="preserve">Prepared by </w:t>
            </w:r>
          </w:p>
        </w:tc>
        <w:tc>
          <w:tcPr>
            <w:tcW w:w="7120" w:type="dxa"/>
            <w:tcBorders>
              <w:top w:val="single" w:sz="4" w:space="0" w:color="auto"/>
              <w:left w:val="single" w:sz="4" w:space="0" w:color="auto"/>
              <w:bottom w:val="single" w:sz="4" w:space="0" w:color="auto"/>
              <w:right w:val="single" w:sz="4" w:space="0" w:color="auto"/>
            </w:tcBorders>
          </w:tcPr>
          <w:p w14:paraId="73531518" w14:textId="77777777" w:rsidR="003F38FF" w:rsidRDefault="003F38FF" w:rsidP="003F38FF">
            <w:pPr>
              <w:spacing w:before="20" w:after="20"/>
              <w:rPr>
                <w:rFonts w:cs="Arial"/>
              </w:rPr>
            </w:pPr>
            <w:r>
              <w:rPr>
                <w:rFonts w:cs="Arial"/>
              </w:rPr>
              <w:t>Ade Adetukasi, Associate Director of Employee Experience</w:t>
            </w:r>
          </w:p>
          <w:p w14:paraId="782FBB55" w14:textId="19CA64F1" w:rsidR="003F38FF" w:rsidRPr="0071552D" w:rsidRDefault="00A45B83" w:rsidP="003F38FF">
            <w:pPr>
              <w:tabs>
                <w:tab w:val="left" w:pos="2329"/>
              </w:tabs>
              <w:spacing w:before="20" w:after="20"/>
              <w:rPr>
                <w:rFonts w:cstheme="minorHAnsi"/>
                <w:szCs w:val="24"/>
              </w:rPr>
            </w:pPr>
            <w:r>
              <w:rPr>
                <w:rFonts w:cstheme="minorHAnsi"/>
                <w:szCs w:val="24"/>
              </w:rPr>
              <w:t>Idre</w:t>
            </w:r>
            <w:r w:rsidR="0053732D">
              <w:rPr>
                <w:rFonts w:cstheme="minorHAnsi"/>
                <w:szCs w:val="24"/>
              </w:rPr>
              <w:t>s</w:t>
            </w:r>
            <w:r>
              <w:rPr>
                <w:rFonts w:cstheme="minorHAnsi"/>
                <w:szCs w:val="24"/>
              </w:rPr>
              <w:t>s Mohammed</w:t>
            </w:r>
            <w:r w:rsidR="004B2E3F">
              <w:rPr>
                <w:rFonts w:cstheme="minorHAnsi"/>
                <w:szCs w:val="24"/>
              </w:rPr>
              <w:t>,</w:t>
            </w:r>
            <w:r>
              <w:rPr>
                <w:rFonts w:cstheme="minorHAnsi"/>
                <w:szCs w:val="24"/>
              </w:rPr>
              <w:t xml:space="preserve"> Interim EDI Manager</w:t>
            </w:r>
          </w:p>
        </w:tc>
      </w:tr>
      <w:tr w:rsidR="003F38FF" w:rsidRPr="00CE7F7E" w14:paraId="2BCA12A6" w14:textId="77777777" w:rsidTr="003F38FF">
        <w:tc>
          <w:tcPr>
            <w:tcW w:w="2944" w:type="dxa"/>
            <w:tcBorders>
              <w:top w:val="single" w:sz="4" w:space="0" w:color="auto"/>
              <w:left w:val="single" w:sz="4" w:space="0" w:color="auto"/>
              <w:bottom w:val="single" w:sz="4" w:space="0" w:color="auto"/>
              <w:right w:val="single" w:sz="4" w:space="0" w:color="auto"/>
            </w:tcBorders>
          </w:tcPr>
          <w:p w14:paraId="6525D19E" w14:textId="77777777" w:rsidR="003F38FF" w:rsidRPr="00CE7F7E" w:rsidRDefault="003F38FF" w:rsidP="003F38FF">
            <w:pPr>
              <w:spacing w:before="20" w:after="20"/>
              <w:rPr>
                <w:rFonts w:cs="Arial"/>
                <w:b/>
              </w:rPr>
            </w:pPr>
            <w:r w:rsidRPr="00CE7F7E">
              <w:rPr>
                <w:rFonts w:cs="Arial"/>
                <w:b/>
              </w:rPr>
              <w:t>Link to strategic objectives</w:t>
            </w:r>
          </w:p>
        </w:tc>
        <w:tc>
          <w:tcPr>
            <w:tcW w:w="7120" w:type="dxa"/>
            <w:tcBorders>
              <w:top w:val="single" w:sz="4" w:space="0" w:color="auto"/>
              <w:left w:val="single" w:sz="4" w:space="0" w:color="auto"/>
              <w:bottom w:val="single" w:sz="4" w:space="0" w:color="auto"/>
              <w:right w:val="single" w:sz="4" w:space="0" w:color="auto"/>
            </w:tcBorders>
          </w:tcPr>
          <w:p w14:paraId="76E78AF0" w14:textId="0129B6E2" w:rsidR="003F38FF" w:rsidRPr="00CE7F7E" w:rsidRDefault="003F38FF" w:rsidP="003F38FF">
            <w:pPr>
              <w:spacing w:before="20" w:after="20"/>
              <w:rPr>
                <w:rFonts w:cs="Arial"/>
              </w:rPr>
            </w:pPr>
            <w:r>
              <w:rPr>
                <w:rFonts w:cs="Arial"/>
              </w:rPr>
              <w:t>Working Together</w:t>
            </w:r>
            <w:r w:rsidR="00C05A32">
              <w:rPr>
                <w:rFonts w:cs="Arial"/>
              </w:rPr>
              <w:t xml:space="preserve"> - </w:t>
            </w:r>
            <w:r w:rsidR="00C05A32" w:rsidRPr="006E4CBD">
              <w:rPr>
                <w:rFonts w:ascii="Calibri" w:hAnsi="Calibri" w:cs="Calibri"/>
              </w:rPr>
              <w:t>We will work together to ensure our workforce supports future care models and a consistently excellent patient and staff experience, in accordance with our values.</w:t>
            </w:r>
          </w:p>
        </w:tc>
      </w:tr>
    </w:tbl>
    <w:p w14:paraId="023A2EB8" w14:textId="77777777" w:rsidR="007C628B" w:rsidRPr="009225EE" w:rsidRDefault="007C628B" w:rsidP="006406CC">
      <w:pPr>
        <w:spacing w:after="0"/>
        <w:rPr>
          <w:rFonts w:cs="Arial"/>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512"/>
        <w:gridCol w:w="1892"/>
        <w:gridCol w:w="512"/>
        <w:gridCol w:w="1977"/>
        <w:gridCol w:w="512"/>
        <w:gridCol w:w="1793"/>
        <w:gridCol w:w="596"/>
      </w:tblGrid>
      <w:tr w:rsidR="00E34EBF" w:rsidRPr="009225EE" w14:paraId="77D41232" w14:textId="77777777" w:rsidTr="00C91AAE">
        <w:tc>
          <w:tcPr>
            <w:tcW w:w="10064" w:type="dxa"/>
            <w:gridSpan w:val="8"/>
            <w:tcBorders>
              <w:top w:val="single" w:sz="4" w:space="0" w:color="auto"/>
              <w:left w:val="single" w:sz="4" w:space="0" w:color="auto"/>
              <w:bottom w:val="single" w:sz="4" w:space="0" w:color="auto"/>
              <w:right w:val="single" w:sz="4" w:space="0" w:color="auto"/>
            </w:tcBorders>
          </w:tcPr>
          <w:p w14:paraId="5267FA36" w14:textId="77777777" w:rsidR="00C91AAE" w:rsidRPr="00C91AAE" w:rsidRDefault="00C91AAE" w:rsidP="00C91AAE">
            <w:pPr>
              <w:rPr>
                <w:rFonts w:cstheme="minorHAnsi"/>
                <w:b/>
                <w:bCs/>
                <w:szCs w:val="24"/>
              </w:rPr>
            </w:pPr>
            <w:r w:rsidRPr="00C91AAE">
              <w:rPr>
                <w:rFonts w:cstheme="minorHAnsi"/>
                <w:b/>
                <w:bCs/>
                <w:szCs w:val="24"/>
              </w:rPr>
              <w:t>Executive Summary</w:t>
            </w:r>
          </w:p>
          <w:p w14:paraId="79F6B9B7" w14:textId="77777777" w:rsidR="00C91AAE" w:rsidRPr="00C91AAE" w:rsidRDefault="00C91AAE" w:rsidP="00C91AAE">
            <w:pPr>
              <w:rPr>
                <w:rFonts w:cstheme="minorHAnsi"/>
                <w:szCs w:val="24"/>
              </w:rPr>
            </w:pPr>
            <w:r w:rsidRPr="00C91AAE">
              <w:rPr>
                <w:rFonts w:cstheme="minorHAnsi"/>
                <w:szCs w:val="24"/>
              </w:rPr>
              <w:t xml:space="preserve">This Gender Pay Gap (GPG) report presents an analysis of pay disparities between male and female colleagues at Moorfields Eye Hospital (MEH) as of the snapshot date 31 March 2024. The report highlights both progress and areas for improvement, offering data-driven insights to inform continued action. As of March 2024, MEH’s mean gender pay gap stands at 21.23%, and the median gap at 17.41%, both showing an increase from 2023. While the bonus mean gender pay gap has reversed in favour of women (-4.38%), indicating significant progress, disparities remain at senior levels, with women making up 68% of the workforce but only 40% of consultants. Additionally, 27% of women work part-time compared to 19% of men, contributing to the overall gap. </w:t>
            </w:r>
          </w:p>
          <w:p w14:paraId="093F98FF" w14:textId="77777777" w:rsidR="00C91AAE" w:rsidRPr="00C91AAE" w:rsidRDefault="00C91AAE" w:rsidP="00C91AAE">
            <w:pPr>
              <w:rPr>
                <w:rFonts w:cstheme="minorHAnsi"/>
                <w:b/>
                <w:bCs/>
                <w:szCs w:val="24"/>
              </w:rPr>
            </w:pPr>
            <w:r w:rsidRPr="00C91AAE">
              <w:rPr>
                <w:rFonts w:cstheme="minorHAnsi"/>
                <w:b/>
                <w:bCs/>
                <w:szCs w:val="24"/>
              </w:rPr>
              <w:t>Summary of Key Trends:</w:t>
            </w:r>
          </w:p>
          <w:p w14:paraId="67DD1752" w14:textId="77777777" w:rsidR="00C91AAE" w:rsidRPr="00C91AAE" w:rsidRDefault="00C91AAE" w:rsidP="00C91AAE">
            <w:pPr>
              <w:numPr>
                <w:ilvl w:val="0"/>
                <w:numId w:val="19"/>
              </w:numPr>
              <w:rPr>
                <w:rFonts w:cstheme="minorHAnsi"/>
                <w:szCs w:val="24"/>
              </w:rPr>
            </w:pPr>
            <w:r w:rsidRPr="00C91AAE">
              <w:rPr>
                <w:rFonts w:cstheme="minorHAnsi"/>
                <w:szCs w:val="24"/>
              </w:rPr>
              <w:t>Gender pay disparity at MEH is largely driven by underrepresentation of women in senior and consultant-level roles, as well as part-time working patterns.</w:t>
            </w:r>
          </w:p>
          <w:p w14:paraId="27D496D5" w14:textId="77777777" w:rsidR="00C91AAE" w:rsidRPr="00C91AAE" w:rsidRDefault="00C91AAE" w:rsidP="00C91AAE">
            <w:pPr>
              <w:numPr>
                <w:ilvl w:val="0"/>
                <w:numId w:val="19"/>
              </w:numPr>
              <w:rPr>
                <w:rFonts w:cstheme="minorHAnsi"/>
                <w:szCs w:val="24"/>
              </w:rPr>
            </w:pPr>
            <w:r w:rsidRPr="00C91AAE">
              <w:rPr>
                <w:rFonts w:cstheme="minorHAnsi"/>
                <w:szCs w:val="24"/>
              </w:rPr>
              <w:t>There has been a positive shift in bonus distribution, with women receiving a higher average bonus for the first time.</w:t>
            </w:r>
          </w:p>
          <w:p w14:paraId="21AB2E64" w14:textId="77777777" w:rsidR="00C91AAE" w:rsidRPr="00C91AAE" w:rsidRDefault="00C91AAE" w:rsidP="00C91AAE">
            <w:pPr>
              <w:numPr>
                <w:ilvl w:val="0"/>
                <w:numId w:val="19"/>
              </w:numPr>
              <w:rPr>
                <w:rFonts w:cstheme="minorHAnsi"/>
                <w:szCs w:val="24"/>
              </w:rPr>
            </w:pPr>
            <w:r w:rsidRPr="00C91AAE">
              <w:rPr>
                <w:rFonts w:cstheme="minorHAnsi"/>
                <w:szCs w:val="24"/>
              </w:rPr>
              <w:lastRenderedPageBreak/>
              <w:t>Despite modest gains in middle pay bands, representation in the upper quartile has declined for women, from 54.16% to 50.32%.</w:t>
            </w:r>
          </w:p>
          <w:p w14:paraId="3F1F70F8" w14:textId="77777777" w:rsidR="00C91AAE" w:rsidRPr="00C91AAE" w:rsidRDefault="00C91AAE" w:rsidP="00C91AAE">
            <w:pPr>
              <w:numPr>
                <w:ilvl w:val="0"/>
                <w:numId w:val="19"/>
              </w:numPr>
              <w:rPr>
                <w:rFonts w:cstheme="minorHAnsi"/>
                <w:szCs w:val="24"/>
              </w:rPr>
            </w:pPr>
            <w:r w:rsidRPr="00C91AAE">
              <w:rPr>
                <w:rFonts w:cstheme="minorHAnsi"/>
                <w:szCs w:val="24"/>
              </w:rPr>
              <w:t>Ethnicity Pay Gaps (EPG) continue to widen, particularly for BME colleagues in senior roles and medical staffing.</w:t>
            </w:r>
          </w:p>
          <w:p w14:paraId="343DAE3D" w14:textId="77777777" w:rsidR="00C91AAE" w:rsidRPr="00C91AAE" w:rsidRDefault="00C91AAE" w:rsidP="00C91AAE">
            <w:pPr>
              <w:rPr>
                <w:rFonts w:cstheme="minorHAnsi"/>
                <w:b/>
                <w:bCs/>
                <w:szCs w:val="24"/>
              </w:rPr>
            </w:pPr>
            <w:r w:rsidRPr="00C91AAE">
              <w:rPr>
                <w:rFonts w:cstheme="minorHAnsi"/>
                <w:b/>
                <w:bCs/>
                <w:szCs w:val="24"/>
              </w:rPr>
              <w:t>Conclusion</w:t>
            </w:r>
          </w:p>
          <w:p w14:paraId="3D523353" w14:textId="77777777" w:rsidR="00C91AAE" w:rsidRPr="00C91AAE" w:rsidRDefault="00C91AAE" w:rsidP="00C91AAE">
            <w:pPr>
              <w:rPr>
                <w:rFonts w:cstheme="minorHAnsi"/>
                <w:szCs w:val="24"/>
              </w:rPr>
            </w:pPr>
            <w:r w:rsidRPr="00C91AAE">
              <w:rPr>
                <w:rFonts w:cstheme="minorHAnsi"/>
                <w:szCs w:val="24"/>
              </w:rPr>
              <w:t>It must be acknowledged that addressing the GPG will require long-term and structural change interventions. Key ongoing interventions launched or expanded in 2024 include:</w:t>
            </w:r>
          </w:p>
          <w:p w14:paraId="1587D6D7" w14:textId="77777777" w:rsidR="00C91AAE" w:rsidRPr="00C91AAE" w:rsidRDefault="00C91AAE" w:rsidP="00C91AAE">
            <w:pPr>
              <w:numPr>
                <w:ilvl w:val="0"/>
                <w:numId w:val="20"/>
              </w:numPr>
              <w:rPr>
                <w:rFonts w:cstheme="minorHAnsi"/>
                <w:szCs w:val="24"/>
              </w:rPr>
            </w:pPr>
            <w:r w:rsidRPr="00C91AAE">
              <w:rPr>
                <w:rFonts w:cstheme="minorHAnsi"/>
                <w:szCs w:val="24"/>
              </w:rPr>
              <w:t>Establishment of Aurora Women’s Network – a new platform to champion women’s interest and progression.</w:t>
            </w:r>
          </w:p>
          <w:p w14:paraId="1749A7DC" w14:textId="77777777" w:rsidR="00C91AAE" w:rsidRPr="00C91AAE" w:rsidRDefault="00C91AAE" w:rsidP="00C91AAE">
            <w:pPr>
              <w:numPr>
                <w:ilvl w:val="0"/>
                <w:numId w:val="20"/>
              </w:numPr>
              <w:rPr>
                <w:rFonts w:cstheme="minorHAnsi"/>
                <w:szCs w:val="24"/>
              </w:rPr>
            </w:pPr>
            <w:r w:rsidRPr="00C91AAE">
              <w:rPr>
                <w:rFonts w:cstheme="minorHAnsi"/>
                <w:szCs w:val="24"/>
              </w:rPr>
              <w:t>Commencement of the second cohort of the Career Sponsorship Programme, offering tailored support and leadership development to staff from black, Asian, and minority ethnic groups.</w:t>
            </w:r>
          </w:p>
          <w:p w14:paraId="7FB96DC6" w14:textId="7904B398" w:rsidR="00C91AAE" w:rsidRPr="00C91AAE" w:rsidRDefault="00C91AAE" w:rsidP="00C91AAE">
            <w:pPr>
              <w:numPr>
                <w:ilvl w:val="0"/>
                <w:numId w:val="20"/>
              </w:numPr>
              <w:rPr>
                <w:rFonts w:cstheme="minorHAnsi"/>
                <w:szCs w:val="24"/>
              </w:rPr>
            </w:pPr>
            <w:r w:rsidRPr="00C91AAE">
              <w:rPr>
                <w:rFonts w:cstheme="minorHAnsi"/>
                <w:szCs w:val="24"/>
              </w:rPr>
              <w:t>Implementation of action</w:t>
            </w:r>
            <w:r w:rsidR="00AB4326">
              <w:rPr>
                <w:rFonts w:cstheme="minorHAnsi"/>
                <w:szCs w:val="24"/>
              </w:rPr>
              <w:t>s</w:t>
            </w:r>
            <w:r w:rsidRPr="00C91AAE">
              <w:rPr>
                <w:rFonts w:cstheme="minorHAnsi"/>
                <w:szCs w:val="24"/>
              </w:rPr>
              <w:t xml:space="preserve"> informed by the WRES Model Employer framework to address recruitment equity and bias.</w:t>
            </w:r>
          </w:p>
          <w:p w14:paraId="4D0DBEFF" w14:textId="77777777" w:rsidR="00C91AAE" w:rsidRPr="00C91AAE" w:rsidRDefault="00C91AAE" w:rsidP="00C91AAE">
            <w:pPr>
              <w:rPr>
                <w:rFonts w:cstheme="minorHAnsi"/>
                <w:szCs w:val="24"/>
              </w:rPr>
            </w:pPr>
            <w:r w:rsidRPr="00C91AAE">
              <w:rPr>
                <w:rFonts w:cstheme="minorHAnsi"/>
                <w:szCs w:val="24"/>
              </w:rPr>
              <w:t>We remain committed to building an inclusive workplace where all colleagues, regardless of gender or background, have equal opportunities to thrive and progress. This report reflects both our transparency and determination to make measurable improvements.</w:t>
            </w:r>
          </w:p>
          <w:p w14:paraId="23651A99" w14:textId="77777777" w:rsidR="00C91AAE" w:rsidRPr="00C91AAE" w:rsidRDefault="00C91AAE" w:rsidP="00C91AAE">
            <w:pPr>
              <w:rPr>
                <w:rFonts w:cstheme="minorHAnsi"/>
                <w:b/>
                <w:bCs/>
                <w:szCs w:val="24"/>
              </w:rPr>
            </w:pPr>
          </w:p>
          <w:p w14:paraId="78BA30E0" w14:textId="77777777" w:rsidR="00C91AAE" w:rsidRPr="00C91AAE" w:rsidRDefault="00C91AAE" w:rsidP="00C91AAE">
            <w:pPr>
              <w:numPr>
                <w:ilvl w:val="0"/>
                <w:numId w:val="14"/>
              </w:numPr>
              <w:rPr>
                <w:rFonts w:cstheme="minorHAnsi"/>
                <w:b/>
                <w:bCs/>
                <w:szCs w:val="24"/>
                <w:lang w:val="en-US"/>
              </w:rPr>
            </w:pPr>
            <w:r w:rsidRPr="00C91AAE">
              <w:rPr>
                <w:rFonts w:cstheme="minorHAnsi"/>
                <w:b/>
                <w:bCs/>
                <w:szCs w:val="24"/>
                <w:lang w:val="en-US"/>
              </w:rPr>
              <w:t>Introduction</w:t>
            </w:r>
          </w:p>
          <w:p w14:paraId="19F204A7" w14:textId="77777777" w:rsidR="00C91AAE" w:rsidRPr="00C91AAE" w:rsidRDefault="00C91AAE" w:rsidP="00C91AAE">
            <w:pPr>
              <w:numPr>
                <w:ilvl w:val="1"/>
                <w:numId w:val="14"/>
              </w:numPr>
              <w:rPr>
                <w:rFonts w:cstheme="minorHAnsi"/>
                <w:szCs w:val="24"/>
                <w:lang w:val="en-US"/>
              </w:rPr>
            </w:pPr>
            <w:r w:rsidRPr="00C91AAE">
              <w:rPr>
                <w:rFonts w:cstheme="minorHAnsi"/>
                <w:szCs w:val="24"/>
                <w:lang w:val="en-US"/>
              </w:rPr>
              <w:t xml:space="preserve">At Moorfield Eye Hospital, we are committed to fostering an inclusive and equitable workplace where everyone, regardless of gender, has equal opportunities to thrive. In line with statutory requirements for all employers with more than 250 staff, we publish our Gender Pay Gap data annually. This report presents our latest findings as of 31st March 2024, as required under the Equality Act 2010. It highlights key trends, challenges, and actions we are taking to support gender equity across all roles and pay bands. We view this not just as a compliance exercise, but as part of our ongoing commitment to transparency and fairness—actively addressing the root causes of pay disparities and building a culture where talent </w:t>
            </w:r>
            <w:proofErr w:type="gramStart"/>
            <w:r w:rsidRPr="00C91AAE">
              <w:rPr>
                <w:rFonts w:cstheme="minorHAnsi"/>
                <w:szCs w:val="24"/>
                <w:lang w:val="en-US"/>
              </w:rPr>
              <w:t>is recognised</w:t>
            </w:r>
            <w:proofErr w:type="gramEnd"/>
            <w:r w:rsidRPr="00C91AAE">
              <w:rPr>
                <w:rFonts w:cstheme="minorHAnsi"/>
                <w:szCs w:val="24"/>
                <w:lang w:val="en-US"/>
              </w:rPr>
              <w:t>, supported, and rewarded fairly. Whilst both equal pay and the gender gap deal with the disparity of pay women receive in the workplace, they are two different issues:</w:t>
            </w:r>
          </w:p>
          <w:p w14:paraId="74A93722" w14:textId="77777777" w:rsidR="00C91AAE" w:rsidRPr="00C91AAE" w:rsidRDefault="00C91AAE" w:rsidP="00C91AAE">
            <w:pPr>
              <w:numPr>
                <w:ilvl w:val="2"/>
                <w:numId w:val="15"/>
              </w:numPr>
              <w:rPr>
                <w:rFonts w:cstheme="minorHAnsi"/>
                <w:szCs w:val="24"/>
                <w:lang w:val="en-US"/>
              </w:rPr>
            </w:pPr>
            <w:r w:rsidRPr="00C91AAE">
              <w:rPr>
                <w:rFonts w:cstheme="minorHAnsi"/>
                <w:szCs w:val="24"/>
                <w:lang w:val="en-US"/>
              </w:rPr>
              <w:t xml:space="preserve">Equal pay means that </w:t>
            </w:r>
            <w:proofErr w:type="gramStart"/>
            <w:r w:rsidRPr="00C91AAE">
              <w:rPr>
                <w:rFonts w:cstheme="minorHAnsi"/>
                <w:szCs w:val="24"/>
                <w:lang w:val="en-US"/>
              </w:rPr>
              <w:t>men and women</w:t>
            </w:r>
            <w:proofErr w:type="gramEnd"/>
            <w:r w:rsidRPr="00C91AAE">
              <w:rPr>
                <w:rFonts w:cstheme="minorHAnsi"/>
                <w:szCs w:val="24"/>
                <w:lang w:val="en-US"/>
              </w:rPr>
              <w:t xml:space="preserve"> in the same employment performing equal work must receive equal pay, as set out in the Equality Act 2010.</w:t>
            </w:r>
          </w:p>
          <w:p w14:paraId="1AB50399" w14:textId="77777777" w:rsidR="00C91AAE" w:rsidRPr="00C91AAE" w:rsidRDefault="00C91AAE" w:rsidP="00C91AAE">
            <w:pPr>
              <w:numPr>
                <w:ilvl w:val="2"/>
                <w:numId w:val="15"/>
              </w:numPr>
              <w:rPr>
                <w:rFonts w:cstheme="minorHAnsi"/>
                <w:szCs w:val="24"/>
                <w:lang w:val="en-US"/>
              </w:rPr>
            </w:pPr>
            <w:r w:rsidRPr="00C91AAE">
              <w:rPr>
                <w:rFonts w:cstheme="minorHAnsi"/>
                <w:szCs w:val="24"/>
                <w:lang w:val="en-US"/>
              </w:rPr>
              <w:t xml:space="preserve">The gender pay gap is a measure of the difference between men’s and women’s average earnings across an organisation. It </w:t>
            </w:r>
            <w:proofErr w:type="gramStart"/>
            <w:r w:rsidRPr="00C91AAE">
              <w:rPr>
                <w:rFonts w:cstheme="minorHAnsi"/>
                <w:szCs w:val="24"/>
                <w:lang w:val="en-US"/>
              </w:rPr>
              <w:t>is expressed</w:t>
            </w:r>
            <w:proofErr w:type="gramEnd"/>
            <w:r w:rsidRPr="00C91AAE">
              <w:rPr>
                <w:rFonts w:cstheme="minorHAnsi"/>
                <w:szCs w:val="24"/>
                <w:lang w:val="en-US"/>
              </w:rPr>
              <w:t xml:space="preserve"> as a percentage of earnings and represents the difference between the mean hourly rate of ordinary pay of male and female employees, and the difference between the median hourly rate of ordinary pay of male and female employees.</w:t>
            </w:r>
          </w:p>
          <w:p w14:paraId="19D26266" w14:textId="77777777" w:rsidR="00C91AAE" w:rsidRPr="00C91AAE" w:rsidRDefault="00C91AAE" w:rsidP="00C91AAE">
            <w:pPr>
              <w:numPr>
                <w:ilvl w:val="0"/>
                <w:numId w:val="14"/>
              </w:numPr>
              <w:rPr>
                <w:rFonts w:cstheme="minorHAnsi"/>
                <w:b/>
                <w:bCs/>
                <w:szCs w:val="24"/>
                <w:lang w:val="en-US"/>
              </w:rPr>
            </w:pPr>
            <w:r w:rsidRPr="00C91AAE">
              <w:rPr>
                <w:rFonts w:cstheme="minorHAnsi"/>
                <w:b/>
                <w:bCs/>
                <w:szCs w:val="24"/>
                <w:lang w:val="en-US"/>
              </w:rPr>
              <w:t>Gender Pay Gap</w:t>
            </w:r>
          </w:p>
          <w:p w14:paraId="3715A5F7" w14:textId="77777777" w:rsidR="00C91AAE" w:rsidRPr="00C91AAE" w:rsidRDefault="00C91AAE" w:rsidP="00C91AAE">
            <w:pPr>
              <w:numPr>
                <w:ilvl w:val="1"/>
                <w:numId w:val="14"/>
              </w:numPr>
              <w:rPr>
                <w:rFonts w:cstheme="minorHAnsi"/>
                <w:szCs w:val="24"/>
              </w:rPr>
            </w:pPr>
            <w:r w:rsidRPr="00C91AAE">
              <w:rPr>
                <w:rFonts w:cstheme="minorHAnsi"/>
                <w:szCs w:val="24"/>
              </w:rPr>
              <w:t xml:space="preserve">In common with many organisations (including other NHS trusts), Moorfields Eye Hospital (MEH) continues to have a gender pay gap. As of 31 March 2024, the average hourly pay for male employees was £30.67, while for female employees it was £24.16 — a difference of £6.51, resulting in a mean gender pay gap of 21.23%. The median hourly rate — which compares the midpoints of male and female earnings — also shows a gap: male employees earned £26.30, compared to £21.72 for female </w:t>
            </w:r>
            <w:r w:rsidRPr="00C91AAE">
              <w:rPr>
                <w:rFonts w:cstheme="minorHAnsi"/>
                <w:szCs w:val="24"/>
              </w:rPr>
              <w:lastRenderedPageBreak/>
              <w:t>employees. This equates to a median pay gap of £4.58 (17.41%). Both the mean and median pay gaps have increased from 2023, where the figures stood at 17.86% (mean) and 16.52% (median) respectively.</w:t>
            </w:r>
          </w:p>
          <w:p w14:paraId="548CD670" w14:textId="77777777" w:rsidR="00C91AAE" w:rsidRPr="00C91AAE" w:rsidRDefault="00C91AAE" w:rsidP="00C91AAE">
            <w:pPr>
              <w:rPr>
                <w:rFonts w:cstheme="minorHAnsi"/>
                <w:b/>
                <w:bCs/>
                <w:szCs w:val="24"/>
              </w:rPr>
            </w:pPr>
          </w:p>
          <w:tbl>
            <w:tblPr>
              <w:tblW w:w="10439" w:type="dxa"/>
              <w:tblLook w:val="04A0" w:firstRow="1" w:lastRow="0" w:firstColumn="1" w:lastColumn="0" w:noHBand="0" w:noVBand="1"/>
            </w:tblPr>
            <w:tblGrid>
              <w:gridCol w:w="2830"/>
              <w:gridCol w:w="4395"/>
              <w:gridCol w:w="3214"/>
            </w:tblGrid>
            <w:tr w:rsidR="00C91AAE" w:rsidRPr="00C91AAE" w14:paraId="3697DB59" w14:textId="77777777" w:rsidTr="003352D5">
              <w:trPr>
                <w:trHeight w:val="592"/>
              </w:trPr>
              <w:tc>
                <w:tcPr>
                  <w:tcW w:w="2830" w:type="dxa"/>
                  <w:tcBorders>
                    <w:top w:val="single" w:sz="4" w:space="0" w:color="979991"/>
                    <w:left w:val="single" w:sz="4" w:space="0" w:color="979991"/>
                    <w:bottom w:val="nil"/>
                    <w:right w:val="nil"/>
                  </w:tcBorders>
                  <w:shd w:val="clear" w:color="000000" w:fill="0066CC"/>
                  <w:hideMark/>
                </w:tcPr>
                <w:p w14:paraId="60B3F606" w14:textId="77777777" w:rsidR="00C91AAE" w:rsidRPr="00C91AAE" w:rsidRDefault="00C91AAE" w:rsidP="00C91AAE">
                  <w:pPr>
                    <w:rPr>
                      <w:rFonts w:cstheme="minorHAnsi"/>
                      <w:b/>
                      <w:bCs/>
                      <w:szCs w:val="24"/>
                    </w:rPr>
                  </w:pPr>
                  <w:r w:rsidRPr="00C91AAE">
                    <w:rPr>
                      <w:rFonts w:cstheme="minorHAnsi"/>
                      <w:b/>
                      <w:bCs/>
                      <w:szCs w:val="24"/>
                    </w:rPr>
                    <w:t>Gender</w:t>
                  </w:r>
                </w:p>
              </w:tc>
              <w:tc>
                <w:tcPr>
                  <w:tcW w:w="4395" w:type="dxa"/>
                  <w:tcBorders>
                    <w:top w:val="single" w:sz="4" w:space="0" w:color="979991"/>
                    <w:left w:val="single" w:sz="4" w:space="0" w:color="979991"/>
                    <w:bottom w:val="single" w:sz="4" w:space="0" w:color="979991"/>
                    <w:right w:val="nil"/>
                  </w:tcBorders>
                  <w:shd w:val="clear" w:color="000000" w:fill="0066CC"/>
                  <w:hideMark/>
                </w:tcPr>
                <w:p w14:paraId="72F239BD" w14:textId="77777777" w:rsidR="00C91AAE" w:rsidRPr="00C91AAE" w:rsidRDefault="00C91AAE" w:rsidP="00C91AAE">
                  <w:pPr>
                    <w:rPr>
                      <w:rFonts w:cstheme="minorHAnsi"/>
                      <w:b/>
                      <w:bCs/>
                      <w:szCs w:val="24"/>
                    </w:rPr>
                  </w:pPr>
                  <w:r w:rsidRPr="00C91AAE">
                    <w:rPr>
                      <w:rFonts w:cstheme="minorHAnsi"/>
                      <w:b/>
                      <w:bCs/>
                      <w:szCs w:val="24"/>
                    </w:rPr>
                    <w:t>Avg. Hourly Rate</w:t>
                  </w:r>
                </w:p>
              </w:tc>
              <w:tc>
                <w:tcPr>
                  <w:tcW w:w="3214" w:type="dxa"/>
                  <w:tcBorders>
                    <w:top w:val="single" w:sz="4" w:space="0" w:color="979991"/>
                    <w:left w:val="single" w:sz="4" w:space="0" w:color="979991"/>
                    <w:bottom w:val="single" w:sz="4" w:space="0" w:color="979991"/>
                    <w:right w:val="single" w:sz="4" w:space="0" w:color="979991"/>
                  </w:tcBorders>
                  <w:shd w:val="clear" w:color="000000" w:fill="0066CC"/>
                  <w:hideMark/>
                </w:tcPr>
                <w:p w14:paraId="519E07A3" w14:textId="77777777" w:rsidR="00C91AAE" w:rsidRPr="00C91AAE" w:rsidRDefault="00C91AAE" w:rsidP="00C91AAE">
                  <w:pPr>
                    <w:rPr>
                      <w:rFonts w:cstheme="minorHAnsi"/>
                      <w:b/>
                      <w:bCs/>
                      <w:szCs w:val="24"/>
                    </w:rPr>
                  </w:pPr>
                  <w:r w:rsidRPr="00C91AAE">
                    <w:rPr>
                      <w:rFonts w:cstheme="minorHAnsi"/>
                      <w:b/>
                      <w:bCs/>
                      <w:szCs w:val="24"/>
                    </w:rPr>
                    <w:t>Median Hourly Rate</w:t>
                  </w:r>
                </w:p>
              </w:tc>
            </w:tr>
            <w:tr w:rsidR="00C91AAE" w:rsidRPr="00C91AAE" w14:paraId="16759FC2" w14:textId="77777777" w:rsidTr="003352D5">
              <w:trPr>
                <w:trHeight w:val="296"/>
              </w:trPr>
              <w:tc>
                <w:tcPr>
                  <w:tcW w:w="2830" w:type="dxa"/>
                  <w:tcBorders>
                    <w:top w:val="single" w:sz="4" w:space="0" w:color="979991"/>
                    <w:left w:val="single" w:sz="4" w:space="0" w:color="979991"/>
                    <w:bottom w:val="single" w:sz="4" w:space="0" w:color="979991"/>
                    <w:right w:val="nil"/>
                  </w:tcBorders>
                  <w:shd w:val="clear" w:color="000000" w:fill="0066CC"/>
                  <w:hideMark/>
                </w:tcPr>
                <w:p w14:paraId="7AC6A4B8" w14:textId="77777777" w:rsidR="00C91AAE" w:rsidRPr="00C91AAE" w:rsidRDefault="00C91AAE" w:rsidP="00C91AAE">
                  <w:pPr>
                    <w:rPr>
                      <w:rFonts w:cstheme="minorHAnsi"/>
                      <w:b/>
                      <w:bCs/>
                      <w:szCs w:val="24"/>
                    </w:rPr>
                  </w:pPr>
                  <w:r w:rsidRPr="00C91AAE">
                    <w:rPr>
                      <w:rFonts w:cstheme="minorHAnsi"/>
                      <w:b/>
                      <w:bCs/>
                      <w:szCs w:val="24"/>
                    </w:rPr>
                    <w:t>Male</w:t>
                  </w:r>
                </w:p>
              </w:tc>
              <w:tc>
                <w:tcPr>
                  <w:tcW w:w="4395" w:type="dxa"/>
                  <w:tcBorders>
                    <w:top w:val="nil"/>
                    <w:left w:val="single" w:sz="4" w:space="0" w:color="979991"/>
                    <w:bottom w:val="single" w:sz="4" w:space="0" w:color="979991"/>
                    <w:right w:val="nil"/>
                  </w:tcBorders>
                  <w:shd w:val="clear" w:color="000000" w:fill="FFFFFF"/>
                  <w:hideMark/>
                </w:tcPr>
                <w:p w14:paraId="31AA1A4F" w14:textId="77777777" w:rsidR="00C91AAE" w:rsidRPr="00C91AAE" w:rsidRDefault="00C91AAE" w:rsidP="00C91AAE">
                  <w:pPr>
                    <w:rPr>
                      <w:rFonts w:cstheme="minorHAnsi"/>
                      <w:b/>
                      <w:bCs/>
                      <w:szCs w:val="24"/>
                    </w:rPr>
                  </w:pPr>
                  <w:r w:rsidRPr="00C91AAE">
                    <w:rPr>
                      <w:rFonts w:cstheme="minorHAnsi"/>
                      <w:b/>
                      <w:bCs/>
                      <w:szCs w:val="24"/>
                    </w:rPr>
                    <w:t>£30.67</w:t>
                  </w:r>
                </w:p>
              </w:tc>
              <w:tc>
                <w:tcPr>
                  <w:tcW w:w="3214" w:type="dxa"/>
                  <w:tcBorders>
                    <w:top w:val="nil"/>
                    <w:left w:val="single" w:sz="4" w:space="0" w:color="979991"/>
                    <w:bottom w:val="single" w:sz="4" w:space="0" w:color="979991"/>
                    <w:right w:val="single" w:sz="4" w:space="0" w:color="979991"/>
                  </w:tcBorders>
                  <w:shd w:val="clear" w:color="000000" w:fill="FFFFFF"/>
                  <w:hideMark/>
                </w:tcPr>
                <w:p w14:paraId="65C01F17" w14:textId="77777777" w:rsidR="00C91AAE" w:rsidRPr="00C91AAE" w:rsidRDefault="00C91AAE" w:rsidP="00C91AAE">
                  <w:pPr>
                    <w:rPr>
                      <w:rFonts w:cstheme="minorHAnsi"/>
                      <w:b/>
                      <w:bCs/>
                      <w:szCs w:val="24"/>
                    </w:rPr>
                  </w:pPr>
                  <w:r w:rsidRPr="00C91AAE">
                    <w:rPr>
                      <w:rFonts w:cstheme="minorHAnsi"/>
                      <w:b/>
                      <w:bCs/>
                      <w:szCs w:val="24"/>
                    </w:rPr>
                    <w:t>£26.30</w:t>
                  </w:r>
                </w:p>
              </w:tc>
            </w:tr>
            <w:tr w:rsidR="00C91AAE" w:rsidRPr="00C91AAE" w14:paraId="2B054111" w14:textId="77777777" w:rsidTr="003352D5">
              <w:trPr>
                <w:trHeight w:val="296"/>
              </w:trPr>
              <w:tc>
                <w:tcPr>
                  <w:tcW w:w="2830" w:type="dxa"/>
                  <w:tcBorders>
                    <w:top w:val="nil"/>
                    <w:left w:val="single" w:sz="4" w:space="0" w:color="979991"/>
                    <w:bottom w:val="single" w:sz="4" w:space="0" w:color="979991"/>
                    <w:right w:val="nil"/>
                  </w:tcBorders>
                  <w:shd w:val="clear" w:color="000000" w:fill="0066CC"/>
                  <w:hideMark/>
                </w:tcPr>
                <w:p w14:paraId="397E8641" w14:textId="77777777" w:rsidR="00C91AAE" w:rsidRPr="00C91AAE" w:rsidRDefault="00C91AAE" w:rsidP="00C91AAE">
                  <w:pPr>
                    <w:rPr>
                      <w:rFonts w:cstheme="minorHAnsi"/>
                      <w:b/>
                      <w:bCs/>
                      <w:szCs w:val="24"/>
                    </w:rPr>
                  </w:pPr>
                  <w:r w:rsidRPr="00C91AAE">
                    <w:rPr>
                      <w:rFonts w:cstheme="minorHAnsi"/>
                      <w:b/>
                      <w:bCs/>
                      <w:szCs w:val="24"/>
                    </w:rPr>
                    <w:t>Female</w:t>
                  </w:r>
                </w:p>
              </w:tc>
              <w:tc>
                <w:tcPr>
                  <w:tcW w:w="4395" w:type="dxa"/>
                  <w:tcBorders>
                    <w:top w:val="nil"/>
                    <w:left w:val="single" w:sz="4" w:space="0" w:color="979991"/>
                    <w:bottom w:val="single" w:sz="4" w:space="0" w:color="979991"/>
                    <w:right w:val="nil"/>
                  </w:tcBorders>
                  <w:shd w:val="clear" w:color="000000" w:fill="FFFFFF"/>
                  <w:hideMark/>
                </w:tcPr>
                <w:p w14:paraId="45F14EF8" w14:textId="77777777" w:rsidR="00C91AAE" w:rsidRPr="00C91AAE" w:rsidRDefault="00C91AAE" w:rsidP="00C91AAE">
                  <w:pPr>
                    <w:rPr>
                      <w:rFonts w:cstheme="minorHAnsi"/>
                      <w:b/>
                      <w:bCs/>
                      <w:szCs w:val="24"/>
                    </w:rPr>
                  </w:pPr>
                  <w:r w:rsidRPr="00C91AAE">
                    <w:rPr>
                      <w:rFonts w:cstheme="minorHAnsi"/>
                      <w:b/>
                      <w:bCs/>
                      <w:szCs w:val="24"/>
                    </w:rPr>
                    <w:t>£24.16</w:t>
                  </w:r>
                </w:p>
              </w:tc>
              <w:tc>
                <w:tcPr>
                  <w:tcW w:w="3214" w:type="dxa"/>
                  <w:tcBorders>
                    <w:top w:val="nil"/>
                    <w:left w:val="single" w:sz="4" w:space="0" w:color="979991"/>
                    <w:bottom w:val="single" w:sz="4" w:space="0" w:color="979991"/>
                    <w:right w:val="single" w:sz="4" w:space="0" w:color="979991"/>
                  </w:tcBorders>
                  <w:shd w:val="clear" w:color="000000" w:fill="FFFFFF"/>
                  <w:hideMark/>
                </w:tcPr>
                <w:p w14:paraId="556F5463" w14:textId="77777777" w:rsidR="00C91AAE" w:rsidRPr="00C91AAE" w:rsidRDefault="00C91AAE" w:rsidP="00C91AAE">
                  <w:pPr>
                    <w:rPr>
                      <w:rFonts w:cstheme="minorHAnsi"/>
                      <w:b/>
                      <w:bCs/>
                      <w:szCs w:val="24"/>
                    </w:rPr>
                  </w:pPr>
                  <w:r w:rsidRPr="00C91AAE">
                    <w:rPr>
                      <w:rFonts w:cstheme="minorHAnsi"/>
                      <w:b/>
                      <w:bCs/>
                      <w:szCs w:val="24"/>
                    </w:rPr>
                    <w:t>£21.72</w:t>
                  </w:r>
                </w:p>
              </w:tc>
            </w:tr>
            <w:tr w:rsidR="00C91AAE" w:rsidRPr="00C91AAE" w14:paraId="1D606431" w14:textId="77777777" w:rsidTr="003352D5">
              <w:trPr>
                <w:trHeight w:val="296"/>
              </w:trPr>
              <w:tc>
                <w:tcPr>
                  <w:tcW w:w="2830" w:type="dxa"/>
                  <w:tcBorders>
                    <w:top w:val="nil"/>
                    <w:left w:val="single" w:sz="4" w:space="0" w:color="979991"/>
                    <w:bottom w:val="single" w:sz="4" w:space="0" w:color="979991"/>
                    <w:right w:val="nil"/>
                  </w:tcBorders>
                  <w:shd w:val="clear" w:color="000000" w:fill="0066CC"/>
                  <w:hideMark/>
                </w:tcPr>
                <w:p w14:paraId="039E009F" w14:textId="77777777" w:rsidR="00C91AAE" w:rsidRPr="00C91AAE" w:rsidRDefault="00C91AAE" w:rsidP="00C91AAE">
                  <w:pPr>
                    <w:rPr>
                      <w:rFonts w:cstheme="minorHAnsi"/>
                      <w:b/>
                      <w:bCs/>
                      <w:szCs w:val="24"/>
                    </w:rPr>
                  </w:pPr>
                  <w:r w:rsidRPr="00C91AAE">
                    <w:rPr>
                      <w:rFonts w:cstheme="minorHAnsi"/>
                      <w:b/>
                      <w:bCs/>
                      <w:szCs w:val="24"/>
                    </w:rPr>
                    <w:t>Difference</w:t>
                  </w:r>
                </w:p>
              </w:tc>
              <w:tc>
                <w:tcPr>
                  <w:tcW w:w="4395" w:type="dxa"/>
                  <w:tcBorders>
                    <w:top w:val="nil"/>
                    <w:left w:val="single" w:sz="4" w:space="0" w:color="979991"/>
                    <w:bottom w:val="single" w:sz="4" w:space="0" w:color="979991"/>
                    <w:right w:val="nil"/>
                  </w:tcBorders>
                  <w:shd w:val="clear" w:color="000000" w:fill="FFFFFF"/>
                  <w:hideMark/>
                </w:tcPr>
                <w:p w14:paraId="5F8A8643" w14:textId="77777777" w:rsidR="00C91AAE" w:rsidRPr="00C91AAE" w:rsidRDefault="00C91AAE" w:rsidP="00C91AAE">
                  <w:pPr>
                    <w:rPr>
                      <w:rFonts w:cstheme="minorHAnsi"/>
                      <w:b/>
                      <w:bCs/>
                      <w:szCs w:val="24"/>
                    </w:rPr>
                  </w:pPr>
                  <w:r w:rsidRPr="00C91AAE">
                    <w:rPr>
                      <w:rFonts w:cstheme="minorHAnsi"/>
                      <w:b/>
                      <w:bCs/>
                      <w:szCs w:val="24"/>
                    </w:rPr>
                    <w:t>£6.51</w:t>
                  </w:r>
                </w:p>
              </w:tc>
              <w:tc>
                <w:tcPr>
                  <w:tcW w:w="3214" w:type="dxa"/>
                  <w:tcBorders>
                    <w:top w:val="nil"/>
                    <w:left w:val="single" w:sz="4" w:space="0" w:color="979991"/>
                    <w:bottom w:val="single" w:sz="4" w:space="0" w:color="979991"/>
                    <w:right w:val="single" w:sz="4" w:space="0" w:color="979991"/>
                  </w:tcBorders>
                  <w:shd w:val="clear" w:color="000000" w:fill="FFFFFF"/>
                  <w:hideMark/>
                </w:tcPr>
                <w:p w14:paraId="604DA283" w14:textId="77777777" w:rsidR="00C91AAE" w:rsidRPr="00C91AAE" w:rsidRDefault="00C91AAE" w:rsidP="00C91AAE">
                  <w:pPr>
                    <w:rPr>
                      <w:rFonts w:cstheme="minorHAnsi"/>
                      <w:b/>
                      <w:bCs/>
                      <w:szCs w:val="24"/>
                    </w:rPr>
                  </w:pPr>
                  <w:r w:rsidRPr="00C91AAE">
                    <w:rPr>
                      <w:rFonts w:cstheme="minorHAnsi"/>
                      <w:b/>
                      <w:bCs/>
                      <w:szCs w:val="24"/>
                    </w:rPr>
                    <w:t>£4.58</w:t>
                  </w:r>
                </w:p>
              </w:tc>
            </w:tr>
            <w:tr w:rsidR="00C91AAE" w:rsidRPr="00C91AAE" w14:paraId="2CDF0B32" w14:textId="77777777" w:rsidTr="003352D5">
              <w:trPr>
                <w:trHeight w:val="296"/>
              </w:trPr>
              <w:tc>
                <w:tcPr>
                  <w:tcW w:w="2830" w:type="dxa"/>
                  <w:tcBorders>
                    <w:top w:val="nil"/>
                    <w:left w:val="single" w:sz="4" w:space="0" w:color="979991"/>
                    <w:bottom w:val="single" w:sz="4" w:space="0" w:color="979991"/>
                    <w:right w:val="nil"/>
                  </w:tcBorders>
                  <w:shd w:val="clear" w:color="000000" w:fill="0066CC"/>
                  <w:hideMark/>
                </w:tcPr>
                <w:p w14:paraId="15F07529" w14:textId="77777777" w:rsidR="00C91AAE" w:rsidRPr="00C91AAE" w:rsidRDefault="00C91AAE" w:rsidP="00C91AAE">
                  <w:pPr>
                    <w:rPr>
                      <w:rFonts w:cstheme="minorHAnsi"/>
                      <w:b/>
                      <w:bCs/>
                      <w:szCs w:val="24"/>
                    </w:rPr>
                  </w:pPr>
                  <w:r w:rsidRPr="00C91AAE">
                    <w:rPr>
                      <w:rFonts w:cstheme="minorHAnsi"/>
                      <w:b/>
                      <w:bCs/>
                      <w:szCs w:val="24"/>
                    </w:rPr>
                    <w:t>Pay Gap %</w:t>
                  </w:r>
                </w:p>
              </w:tc>
              <w:tc>
                <w:tcPr>
                  <w:tcW w:w="4395" w:type="dxa"/>
                  <w:tcBorders>
                    <w:top w:val="nil"/>
                    <w:left w:val="single" w:sz="4" w:space="0" w:color="979991"/>
                    <w:bottom w:val="single" w:sz="4" w:space="0" w:color="979991"/>
                    <w:right w:val="nil"/>
                  </w:tcBorders>
                  <w:shd w:val="clear" w:color="000000" w:fill="FFFFFF"/>
                  <w:hideMark/>
                </w:tcPr>
                <w:p w14:paraId="44CB52B4" w14:textId="77777777" w:rsidR="00C91AAE" w:rsidRPr="00C91AAE" w:rsidRDefault="00C91AAE" w:rsidP="00C91AAE">
                  <w:pPr>
                    <w:rPr>
                      <w:rFonts w:cstheme="minorHAnsi"/>
                      <w:b/>
                      <w:bCs/>
                      <w:szCs w:val="24"/>
                    </w:rPr>
                  </w:pPr>
                  <w:r w:rsidRPr="00C91AAE">
                    <w:rPr>
                      <w:rFonts w:cstheme="minorHAnsi"/>
                      <w:b/>
                      <w:bCs/>
                      <w:szCs w:val="24"/>
                    </w:rPr>
                    <w:t>21.23%</w:t>
                  </w:r>
                </w:p>
              </w:tc>
              <w:tc>
                <w:tcPr>
                  <w:tcW w:w="3214" w:type="dxa"/>
                  <w:tcBorders>
                    <w:top w:val="nil"/>
                    <w:left w:val="single" w:sz="4" w:space="0" w:color="979991"/>
                    <w:bottom w:val="single" w:sz="4" w:space="0" w:color="979991"/>
                    <w:right w:val="single" w:sz="4" w:space="0" w:color="979991"/>
                  </w:tcBorders>
                  <w:shd w:val="clear" w:color="000000" w:fill="FFFFFF"/>
                  <w:hideMark/>
                </w:tcPr>
                <w:p w14:paraId="47308EB2" w14:textId="77777777" w:rsidR="00C91AAE" w:rsidRPr="00C91AAE" w:rsidRDefault="00C91AAE" w:rsidP="00C91AAE">
                  <w:pPr>
                    <w:rPr>
                      <w:rFonts w:cstheme="minorHAnsi"/>
                      <w:b/>
                      <w:bCs/>
                      <w:szCs w:val="24"/>
                    </w:rPr>
                  </w:pPr>
                  <w:r w:rsidRPr="00C91AAE">
                    <w:rPr>
                      <w:rFonts w:cstheme="minorHAnsi"/>
                      <w:b/>
                      <w:bCs/>
                      <w:szCs w:val="24"/>
                    </w:rPr>
                    <w:t>17.41%</w:t>
                  </w:r>
                </w:p>
              </w:tc>
            </w:tr>
          </w:tbl>
          <w:p w14:paraId="03BD506A" w14:textId="77777777" w:rsidR="00C91AAE" w:rsidRPr="00C91AAE" w:rsidRDefault="00C91AAE" w:rsidP="00C91AAE">
            <w:pPr>
              <w:rPr>
                <w:rFonts w:cstheme="minorHAnsi"/>
                <w:b/>
                <w:bCs/>
                <w:szCs w:val="24"/>
              </w:rPr>
            </w:pPr>
            <w:r w:rsidRPr="00C91AAE">
              <w:rPr>
                <w:rFonts w:cstheme="minorHAnsi"/>
                <w:b/>
                <w:bCs/>
                <w:szCs w:val="24"/>
              </w:rPr>
              <w:t>Table 1: Average Hourly Rate and Median Hourly Rate (Gender Pay Gap) – 2024</w:t>
            </w:r>
          </w:p>
          <w:p w14:paraId="10C29E6B" w14:textId="77777777" w:rsidR="00C91AAE" w:rsidRPr="00C91AAE" w:rsidRDefault="00C91AAE" w:rsidP="00C91AAE">
            <w:pPr>
              <w:rPr>
                <w:rFonts w:cstheme="minorHAnsi"/>
                <w:b/>
                <w:bCs/>
                <w:szCs w:val="24"/>
                <w:lang w:val="en-US"/>
              </w:rPr>
            </w:pPr>
          </w:p>
          <w:p w14:paraId="747024C6" w14:textId="77777777" w:rsidR="00C91AAE" w:rsidRPr="00C91AAE" w:rsidRDefault="00C91AAE" w:rsidP="00C91AAE">
            <w:pPr>
              <w:rPr>
                <w:rFonts w:cstheme="minorHAnsi"/>
                <w:b/>
                <w:bCs/>
                <w:szCs w:val="24"/>
                <w:lang w:val="en-US"/>
              </w:rPr>
            </w:pPr>
            <w:r w:rsidRPr="00C91AAE">
              <w:rPr>
                <w:rFonts w:cstheme="minorHAnsi"/>
                <w:b/>
                <w:bCs/>
                <w:noProof/>
                <w:szCs w:val="24"/>
              </w:rPr>
              <w:drawing>
                <wp:inline distT="0" distB="0" distL="0" distR="0" wp14:anchorId="52B52793" wp14:editId="0ABC2160">
                  <wp:extent cx="6629400" cy="2947670"/>
                  <wp:effectExtent l="0" t="0" r="0" b="5080"/>
                  <wp:docPr id="660140729" name="Chart 1">
                    <a:extLst xmlns:a="http://schemas.openxmlformats.org/drawingml/2006/main">
                      <a:ext uri="{FF2B5EF4-FFF2-40B4-BE49-F238E27FC236}">
                        <a16:creationId xmlns:a16="http://schemas.microsoft.com/office/drawing/2014/main" id="{384D4220-2689-46B3-83A1-45C734C41E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D3FB50C" w14:textId="77777777" w:rsidR="00C91AAE" w:rsidRPr="00C91AAE" w:rsidRDefault="00C91AAE" w:rsidP="00C91AAE">
            <w:pPr>
              <w:rPr>
                <w:rFonts w:cstheme="minorHAnsi"/>
                <w:b/>
                <w:bCs/>
                <w:szCs w:val="24"/>
              </w:rPr>
            </w:pPr>
            <w:r w:rsidRPr="00C91AAE">
              <w:rPr>
                <w:rFonts w:cstheme="minorHAnsi"/>
                <w:b/>
                <w:bCs/>
                <w:szCs w:val="24"/>
              </w:rPr>
              <w:t>Figure 1: Average Hourly Rate and Median Hourly Rate (Gender Pay Gap) – 2024</w:t>
            </w:r>
          </w:p>
          <w:p w14:paraId="60113D3D" w14:textId="77777777" w:rsidR="00C91AAE" w:rsidRPr="00C91AAE" w:rsidRDefault="00C91AAE" w:rsidP="00C91AAE">
            <w:pPr>
              <w:rPr>
                <w:rFonts w:cstheme="minorHAnsi"/>
                <w:b/>
                <w:bCs/>
                <w:szCs w:val="24"/>
                <w:lang w:val="en-US"/>
              </w:rPr>
            </w:pPr>
          </w:p>
          <w:tbl>
            <w:tblPr>
              <w:tblW w:w="10439" w:type="dxa"/>
              <w:tblLook w:val="04A0" w:firstRow="1" w:lastRow="0" w:firstColumn="1" w:lastColumn="0" w:noHBand="0" w:noVBand="1"/>
            </w:tblPr>
            <w:tblGrid>
              <w:gridCol w:w="2830"/>
              <w:gridCol w:w="4395"/>
              <w:gridCol w:w="3214"/>
            </w:tblGrid>
            <w:tr w:rsidR="00C91AAE" w:rsidRPr="00C91AAE" w14:paraId="5717F5B2" w14:textId="77777777" w:rsidTr="003352D5">
              <w:trPr>
                <w:trHeight w:val="592"/>
              </w:trPr>
              <w:tc>
                <w:tcPr>
                  <w:tcW w:w="2830" w:type="dxa"/>
                  <w:tcBorders>
                    <w:top w:val="single" w:sz="4" w:space="0" w:color="979991"/>
                    <w:left w:val="single" w:sz="4" w:space="0" w:color="979991"/>
                    <w:bottom w:val="nil"/>
                    <w:right w:val="nil"/>
                  </w:tcBorders>
                  <w:shd w:val="clear" w:color="000000" w:fill="0066CC"/>
                  <w:hideMark/>
                </w:tcPr>
                <w:p w14:paraId="106729A0" w14:textId="77777777" w:rsidR="00C91AAE" w:rsidRPr="00C91AAE" w:rsidRDefault="00C91AAE" w:rsidP="00C91AAE">
                  <w:pPr>
                    <w:rPr>
                      <w:rFonts w:cstheme="minorHAnsi"/>
                      <w:b/>
                      <w:bCs/>
                      <w:szCs w:val="24"/>
                    </w:rPr>
                  </w:pPr>
                  <w:r w:rsidRPr="00C91AAE">
                    <w:rPr>
                      <w:rFonts w:cstheme="minorHAnsi"/>
                      <w:b/>
                      <w:bCs/>
                      <w:szCs w:val="24"/>
                    </w:rPr>
                    <w:t>Year</w:t>
                  </w:r>
                </w:p>
              </w:tc>
              <w:tc>
                <w:tcPr>
                  <w:tcW w:w="4395" w:type="dxa"/>
                  <w:tcBorders>
                    <w:top w:val="single" w:sz="4" w:space="0" w:color="979991"/>
                    <w:left w:val="single" w:sz="4" w:space="0" w:color="979991"/>
                    <w:bottom w:val="single" w:sz="4" w:space="0" w:color="979991"/>
                    <w:right w:val="nil"/>
                  </w:tcBorders>
                  <w:shd w:val="clear" w:color="000000" w:fill="0066CC"/>
                  <w:hideMark/>
                </w:tcPr>
                <w:p w14:paraId="60B49825" w14:textId="77777777" w:rsidR="00C91AAE" w:rsidRPr="00C91AAE" w:rsidRDefault="00C91AAE" w:rsidP="00C91AAE">
                  <w:pPr>
                    <w:rPr>
                      <w:rFonts w:cstheme="minorHAnsi"/>
                      <w:b/>
                      <w:bCs/>
                      <w:szCs w:val="24"/>
                    </w:rPr>
                  </w:pPr>
                  <w:r w:rsidRPr="00C91AAE">
                    <w:rPr>
                      <w:rFonts w:cstheme="minorHAnsi"/>
                      <w:b/>
                      <w:bCs/>
                      <w:szCs w:val="24"/>
                    </w:rPr>
                    <w:t>Mean Pay Gap (%)</w:t>
                  </w:r>
                </w:p>
              </w:tc>
              <w:tc>
                <w:tcPr>
                  <w:tcW w:w="3214" w:type="dxa"/>
                  <w:tcBorders>
                    <w:top w:val="single" w:sz="4" w:space="0" w:color="979991"/>
                    <w:left w:val="single" w:sz="4" w:space="0" w:color="979991"/>
                    <w:bottom w:val="single" w:sz="4" w:space="0" w:color="979991"/>
                    <w:right w:val="single" w:sz="4" w:space="0" w:color="979991"/>
                  </w:tcBorders>
                  <w:shd w:val="clear" w:color="000000" w:fill="0066CC"/>
                  <w:hideMark/>
                </w:tcPr>
                <w:p w14:paraId="0B3DA60D" w14:textId="77777777" w:rsidR="00C91AAE" w:rsidRPr="00C91AAE" w:rsidRDefault="00C91AAE" w:rsidP="00C91AAE">
                  <w:pPr>
                    <w:rPr>
                      <w:rFonts w:cstheme="minorHAnsi"/>
                      <w:b/>
                      <w:bCs/>
                      <w:szCs w:val="24"/>
                    </w:rPr>
                  </w:pPr>
                  <w:r w:rsidRPr="00C91AAE">
                    <w:rPr>
                      <w:rFonts w:cstheme="minorHAnsi"/>
                      <w:b/>
                      <w:bCs/>
                      <w:szCs w:val="24"/>
                    </w:rPr>
                    <w:t>Median Pay Gap (%)</w:t>
                  </w:r>
                </w:p>
              </w:tc>
            </w:tr>
            <w:tr w:rsidR="00C91AAE" w:rsidRPr="00C91AAE" w14:paraId="4A9404B7" w14:textId="77777777" w:rsidTr="003352D5">
              <w:trPr>
                <w:trHeight w:val="296"/>
              </w:trPr>
              <w:tc>
                <w:tcPr>
                  <w:tcW w:w="2830" w:type="dxa"/>
                  <w:tcBorders>
                    <w:top w:val="single" w:sz="4" w:space="0" w:color="979991"/>
                    <w:left w:val="single" w:sz="4" w:space="0" w:color="979991"/>
                    <w:bottom w:val="single" w:sz="4" w:space="0" w:color="979991"/>
                    <w:right w:val="nil"/>
                  </w:tcBorders>
                  <w:shd w:val="clear" w:color="000000" w:fill="0066CC"/>
                  <w:vAlign w:val="bottom"/>
                  <w:hideMark/>
                </w:tcPr>
                <w:p w14:paraId="4D39979D" w14:textId="77777777" w:rsidR="00C91AAE" w:rsidRPr="00C91AAE" w:rsidRDefault="00C91AAE" w:rsidP="00C91AAE">
                  <w:pPr>
                    <w:rPr>
                      <w:rFonts w:cstheme="minorHAnsi"/>
                      <w:b/>
                      <w:bCs/>
                      <w:szCs w:val="24"/>
                    </w:rPr>
                  </w:pPr>
                  <w:r w:rsidRPr="00C91AAE">
                    <w:rPr>
                      <w:rFonts w:cstheme="minorHAnsi"/>
                      <w:b/>
                      <w:bCs/>
                      <w:szCs w:val="24"/>
                    </w:rPr>
                    <w:t>2022</w:t>
                  </w:r>
                </w:p>
              </w:tc>
              <w:tc>
                <w:tcPr>
                  <w:tcW w:w="4395" w:type="dxa"/>
                  <w:tcBorders>
                    <w:top w:val="nil"/>
                    <w:left w:val="single" w:sz="4" w:space="0" w:color="979991"/>
                    <w:bottom w:val="single" w:sz="4" w:space="0" w:color="979991"/>
                    <w:right w:val="nil"/>
                  </w:tcBorders>
                  <w:shd w:val="clear" w:color="000000" w:fill="FFFFFF"/>
                  <w:vAlign w:val="bottom"/>
                  <w:hideMark/>
                </w:tcPr>
                <w:p w14:paraId="357A35BB" w14:textId="77777777" w:rsidR="00C91AAE" w:rsidRPr="00C91AAE" w:rsidRDefault="00C91AAE" w:rsidP="00C91AAE">
                  <w:pPr>
                    <w:rPr>
                      <w:rFonts w:cstheme="minorHAnsi"/>
                      <w:b/>
                      <w:bCs/>
                      <w:szCs w:val="24"/>
                    </w:rPr>
                  </w:pPr>
                  <w:r w:rsidRPr="00C91AAE">
                    <w:rPr>
                      <w:rFonts w:cstheme="minorHAnsi"/>
                      <w:b/>
                      <w:bCs/>
                      <w:szCs w:val="24"/>
                    </w:rPr>
                    <w:t>17.36</w:t>
                  </w:r>
                </w:p>
              </w:tc>
              <w:tc>
                <w:tcPr>
                  <w:tcW w:w="3214" w:type="dxa"/>
                  <w:tcBorders>
                    <w:top w:val="nil"/>
                    <w:left w:val="single" w:sz="4" w:space="0" w:color="979991"/>
                    <w:bottom w:val="single" w:sz="4" w:space="0" w:color="979991"/>
                    <w:right w:val="single" w:sz="4" w:space="0" w:color="979991"/>
                  </w:tcBorders>
                  <w:shd w:val="clear" w:color="000000" w:fill="FFFFFF"/>
                  <w:vAlign w:val="bottom"/>
                  <w:hideMark/>
                </w:tcPr>
                <w:p w14:paraId="2C6C1CA7" w14:textId="77777777" w:rsidR="00C91AAE" w:rsidRPr="00C91AAE" w:rsidRDefault="00C91AAE" w:rsidP="00C91AAE">
                  <w:pPr>
                    <w:rPr>
                      <w:rFonts w:cstheme="minorHAnsi"/>
                      <w:b/>
                      <w:bCs/>
                      <w:szCs w:val="24"/>
                    </w:rPr>
                  </w:pPr>
                  <w:r w:rsidRPr="00C91AAE">
                    <w:rPr>
                      <w:rFonts w:cstheme="minorHAnsi"/>
                      <w:b/>
                      <w:bCs/>
                      <w:szCs w:val="24"/>
                    </w:rPr>
                    <w:t>17.88</w:t>
                  </w:r>
                </w:p>
              </w:tc>
            </w:tr>
            <w:tr w:rsidR="00C91AAE" w:rsidRPr="00C91AAE" w14:paraId="64235474" w14:textId="77777777" w:rsidTr="003352D5">
              <w:trPr>
                <w:trHeight w:val="296"/>
              </w:trPr>
              <w:tc>
                <w:tcPr>
                  <w:tcW w:w="2830" w:type="dxa"/>
                  <w:tcBorders>
                    <w:top w:val="nil"/>
                    <w:left w:val="single" w:sz="4" w:space="0" w:color="979991"/>
                    <w:bottom w:val="single" w:sz="4" w:space="0" w:color="979991"/>
                    <w:right w:val="nil"/>
                  </w:tcBorders>
                  <w:shd w:val="clear" w:color="000000" w:fill="0066CC"/>
                  <w:vAlign w:val="bottom"/>
                  <w:hideMark/>
                </w:tcPr>
                <w:p w14:paraId="2B85B65A" w14:textId="77777777" w:rsidR="00C91AAE" w:rsidRPr="00C91AAE" w:rsidRDefault="00C91AAE" w:rsidP="00C91AAE">
                  <w:pPr>
                    <w:rPr>
                      <w:rFonts w:cstheme="minorHAnsi"/>
                      <w:b/>
                      <w:bCs/>
                      <w:szCs w:val="24"/>
                    </w:rPr>
                  </w:pPr>
                  <w:r w:rsidRPr="00C91AAE">
                    <w:rPr>
                      <w:rFonts w:cstheme="minorHAnsi"/>
                      <w:b/>
                      <w:bCs/>
                      <w:szCs w:val="24"/>
                    </w:rPr>
                    <w:t>2023</w:t>
                  </w:r>
                </w:p>
              </w:tc>
              <w:tc>
                <w:tcPr>
                  <w:tcW w:w="4395" w:type="dxa"/>
                  <w:tcBorders>
                    <w:top w:val="nil"/>
                    <w:left w:val="single" w:sz="4" w:space="0" w:color="979991"/>
                    <w:bottom w:val="single" w:sz="4" w:space="0" w:color="979991"/>
                    <w:right w:val="nil"/>
                  </w:tcBorders>
                  <w:shd w:val="clear" w:color="000000" w:fill="FFFFFF"/>
                  <w:vAlign w:val="bottom"/>
                  <w:hideMark/>
                </w:tcPr>
                <w:p w14:paraId="43B15451" w14:textId="77777777" w:rsidR="00C91AAE" w:rsidRPr="00C91AAE" w:rsidRDefault="00C91AAE" w:rsidP="00C91AAE">
                  <w:pPr>
                    <w:rPr>
                      <w:rFonts w:cstheme="minorHAnsi"/>
                      <w:b/>
                      <w:bCs/>
                      <w:szCs w:val="24"/>
                    </w:rPr>
                  </w:pPr>
                  <w:r w:rsidRPr="00C91AAE">
                    <w:rPr>
                      <w:rFonts w:cstheme="minorHAnsi"/>
                      <w:b/>
                      <w:bCs/>
                      <w:szCs w:val="24"/>
                    </w:rPr>
                    <w:t>17.86</w:t>
                  </w:r>
                </w:p>
              </w:tc>
              <w:tc>
                <w:tcPr>
                  <w:tcW w:w="3214" w:type="dxa"/>
                  <w:tcBorders>
                    <w:top w:val="nil"/>
                    <w:left w:val="single" w:sz="4" w:space="0" w:color="979991"/>
                    <w:bottom w:val="single" w:sz="4" w:space="0" w:color="979991"/>
                    <w:right w:val="single" w:sz="4" w:space="0" w:color="979991"/>
                  </w:tcBorders>
                  <w:shd w:val="clear" w:color="000000" w:fill="FFFFFF"/>
                  <w:vAlign w:val="bottom"/>
                  <w:hideMark/>
                </w:tcPr>
                <w:p w14:paraId="04FC750E" w14:textId="77777777" w:rsidR="00C91AAE" w:rsidRPr="00C91AAE" w:rsidRDefault="00C91AAE" w:rsidP="00C91AAE">
                  <w:pPr>
                    <w:rPr>
                      <w:rFonts w:cstheme="minorHAnsi"/>
                      <w:b/>
                      <w:bCs/>
                      <w:szCs w:val="24"/>
                    </w:rPr>
                  </w:pPr>
                  <w:r w:rsidRPr="00C91AAE">
                    <w:rPr>
                      <w:rFonts w:cstheme="minorHAnsi"/>
                      <w:b/>
                      <w:bCs/>
                      <w:szCs w:val="24"/>
                    </w:rPr>
                    <w:t>16.52</w:t>
                  </w:r>
                </w:p>
              </w:tc>
            </w:tr>
            <w:tr w:rsidR="00C91AAE" w:rsidRPr="00C91AAE" w14:paraId="7128F735" w14:textId="77777777" w:rsidTr="003352D5">
              <w:trPr>
                <w:trHeight w:val="296"/>
              </w:trPr>
              <w:tc>
                <w:tcPr>
                  <w:tcW w:w="2830" w:type="dxa"/>
                  <w:tcBorders>
                    <w:top w:val="nil"/>
                    <w:left w:val="single" w:sz="4" w:space="0" w:color="979991"/>
                    <w:bottom w:val="single" w:sz="4" w:space="0" w:color="979991"/>
                    <w:right w:val="nil"/>
                  </w:tcBorders>
                  <w:shd w:val="clear" w:color="000000" w:fill="0066CC"/>
                  <w:vAlign w:val="bottom"/>
                  <w:hideMark/>
                </w:tcPr>
                <w:p w14:paraId="3A6BD316" w14:textId="77777777" w:rsidR="00C91AAE" w:rsidRPr="00C91AAE" w:rsidRDefault="00C91AAE" w:rsidP="00C91AAE">
                  <w:pPr>
                    <w:rPr>
                      <w:rFonts w:cstheme="minorHAnsi"/>
                      <w:b/>
                      <w:bCs/>
                      <w:szCs w:val="24"/>
                    </w:rPr>
                  </w:pPr>
                  <w:r w:rsidRPr="00C91AAE">
                    <w:rPr>
                      <w:rFonts w:cstheme="minorHAnsi"/>
                      <w:b/>
                      <w:bCs/>
                      <w:szCs w:val="24"/>
                    </w:rPr>
                    <w:t>2024</w:t>
                  </w:r>
                </w:p>
              </w:tc>
              <w:tc>
                <w:tcPr>
                  <w:tcW w:w="4395" w:type="dxa"/>
                  <w:tcBorders>
                    <w:top w:val="nil"/>
                    <w:left w:val="single" w:sz="4" w:space="0" w:color="979991"/>
                    <w:bottom w:val="single" w:sz="4" w:space="0" w:color="979991"/>
                    <w:right w:val="nil"/>
                  </w:tcBorders>
                  <w:shd w:val="clear" w:color="000000" w:fill="FFFFFF"/>
                  <w:vAlign w:val="bottom"/>
                  <w:hideMark/>
                </w:tcPr>
                <w:p w14:paraId="558DD0E0" w14:textId="77777777" w:rsidR="00C91AAE" w:rsidRPr="00C91AAE" w:rsidRDefault="00C91AAE" w:rsidP="00C91AAE">
                  <w:pPr>
                    <w:rPr>
                      <w:rFonts w:cstheme="minorHAnsi"/>
                      <w:b/>
                      <w:bCs/>
                      <w:szCs w:val="24"/>
                    </w:rPr>
                  </w:pPr>
                  <w:r w:rsidRPr="00C91AAE">
                    <w:rPr>
                      <w:rFonts w:cstheme="minorHAnsi"/>
                      <w:b/>
                      <w:bCs/>
                      <w:szCs w:val="24"/>
                    </w:rPr>
                    <w:t>21.23</w:t>
                  </w:r>
                </w:p>
              </w:tc>
              <w:tc>
                <w:tcPr>
                  <w:tcW w:w="3214" w:type="dxa"/>
                  <w:tcBorders>
                    <w:top w:val="nil"/>
                    <w:left w:val="single" w:sz="4" w:space="0" w:color="979991"/>
                    <w:bottom w:val="single" w:sz="4" w:space="0" w:color="979991"/>
                    <w:right w:val="single" w:sz="4" w:space="0" w:color="979991"/>
                  </w:tcBorders>
                  <w:shd w:val="clear" w:color="000000" w:fill="FFFFFF"/>
                  <w:vAlign w:val="bottom"/>
                  <w:hideMark/>
                </w:tcPr>
                <w:p w14:paraId="3C931211" w14:textId="77777777" w:rsidR="00C91AAE" w:rsidRPr="00C91AAE" w:rsidRDefault="00C91AAE" w:rsidP="00C91AAE">
                  <w:pPr>
                    <w:rPr>
                      <w:rFonts w:cstheme="minorHAnsi"/>
                      <w:b/>
                      <w:bCs/>
                      <w:szCs w:val="24"/>
                    </w:rPr>
                  </w:pPr>
                  <w:r w:rsidRPr="00C91AAE">
                    <w:rPr>
                      <w:rFonts w:cstheme="minorHAnsi"/>
                      <w:b/>
                      <w:bCs/>
                      <w:szCs w:val="24"/>
                    </w:rPr>
                    <w:t>17.41</w:t>
                  </w:r>
                </w:p>
              </w:tc>
            </w:tr>
          </w:tbl>
          <w:p w14:paraId="4BA08EB6" w14:textId="77777777" w:rsidR="00C91AAE" w:rsidRPr="00C91AAE" w:rsidRDefault="00C91AAE" w:rsidP="00C91AAE">
            <w:pPr>
              <w:rPr>
                <w:rFonts w:cstheme="minorHAnsi"/>
                <w:b/>
                <w:bCs/>
                <w:szCs w:val="24"/>
              </w:rPr>
            </w:pPr>
            <w:r w:rsidRPr="00C91AAE">
              <w:rPr>
                <w:rFonts w:cstheme="minorHAnsi"/>
                <w:b/>
                <w:bCs/>
                <w:szCs w:val="24"/>
              </w:rPr>
              <w:t>Table 2: Average and Median Gender Pay Gap – 2022 to 2024</w:t>
            </w:r>
          </w:p>
          <w:p w14:paraId="698FA9AA" w14:textId="77777777" w:rsidR="00C91AAE" w:rsidRPr="00C91AAE" w:rsidRDefault="00C91AAE" w:rsidP="00C91AAE">
            <w:pPr>
              <w:rPr>
                <w:rFonts w:cstheme="minorHAnsi"/>
                <w:b/>
                <w:bCs/>
                <w:szCs w:val="24"/>
                <w:lang w:val="en-US"/>
              </w:rPr>
            </w:pPr>
          </w:p>
          <w:p w14:paraId="476CDEE3" w14:textId="77777777" w:rsidR="00C91AAE" w:rsidRPr="00C91AAE" w:rsidRDefault="00C91AAE" w:rsidP="00C91AAE">
            <w:pPr>
              <w:rPr>
                <w:rFonts w:cstheme="minorHAnsi"/>
                <w:b/>
                <w:bCs/>
                <w:szCs w:val="24"/>
                <w:lang w:val="en-US"/>
              </w:rPr>
            </w:pPr>
            <w:r w:rsidRPr="00C91AAE">
              <w:rPr>
                <w:rFonts w:cstheme="minorHAnsi"/>
                <w:b/>
                <w:bCs/>
                <w:noProof/>
                <w:szCs w:val="24"/>
              </w:rPr>
              <w:lastRenderedPageBreak/>
              <w:drawing>
                <wp:inline distT="0" distB="0" distL="0" distR="0" wp14:anchorId="6E5913B9" wp14:editId="4CF0A11D">
                  <wp:extent cx="6195646" cy="3200400"/>
                  <wp:effectExtent l="0" t="0" r="15240" b="0"/>
                  <wp:docPr id="839736227"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AF752B" w14:textId="77777777" w:rsidR="00C91AAE" w:rsidRPr="00C91AAE" w:rsidRDefault="00C91AAE" w:rsidP="00C91AAE">
            <w:pPr>
              <w:rPr>
                <w:rFonts w:cstheme="minorHAnsi"/>
                <w:b/>
                <w:bCs/>
                <w:szCs w:val="24"/>
              </w:rPr>
            </w:pPr>
            <w:r w:rsidRPr="00C91AAE">
              <w:rPr>
                <w:rFonts w:cstheme="minorHAnsi"/>
                <w:b/>
                <w:bCs/>
                <w:szCs w:val="24"/>
              </w:rPr>
              <w:t>Figure 2: Average and Median Gender Pay Gap – 2022 to 2024</w:t>
            </w:r>
          </w:p>
          <w:p w14:paraId="042ED023" w14:textId="77777777" w:rsidR="00C91AAE" w:rsidRPr="00C91AAE" w:rsidRDefault="00C91AAE" w:rsidP="00C91AAE">
            <w:pPr>
              <w:rPr>
                <w:rFonts w:cstheme="minorHAnsi"/>
                <w:b/>
                <w:bCs/>
                <w:szCs w:val="24"/>
                <w:lang w:val="en-US"/>
              </w:rPr>
            </w:pPr>
          </w:p>
          <w:p w14:paraId="12F37635" w14:textId="77777777" w:rsidR="00C91AAE" w:rsidRPr="00C91AAE" w:rsidRDefault="00C91AAE" w:rsidP="00C91AAE">
            <w:pPr>
              <w:rPr>
                <w:rFonts w:cstheme="minorHAnsi"/>
                <w:szCs w:val="24"/>
              </w:rPr>
            </w:pPr>
            <w:r w:rsidRPr="00C91AAE">
              <w:rPr>
                <w:rFonts w:cstheme="minorHAnsi"/>
                <w:szCs w:val="24"/>
              </w:rPr>
              <w:t xml:space="preserve">Between 2022 and 2024, the gender pay gap in MEH has shown a widening trend, particularly in the mean pay gap, which increased from 17.36% in 2022 to 21.23% in 2024, with a notable rise in the most recent year. This suggests that average earnings between men and women in the trust have become more unequal, potentially due to disparities at senior or higher-paid levels. The median pay gap showed a slight improvement in 2023 but rose again in 2024, remaining below 2022 levels (from 17.88% in 2022 to 17.41% in 2024). This reflects some year-on-year fluctuation, but overall, pay at the mid-point remains skewed in favour of men. </w:t>
            </w:r>
          </w:p>
          <w:p w14:paraId="210A782B" w14:textId="77777777" w:rsidR="00C91AAE" w:rsidRPr="00C91AAE" w:rsidRDefault="00C91AAE" w:rsidP="00C91AAE">
            <w:pPr>
              <w:rPr>
                <w:rFonts w:cstheme="minorHAnsi"/>
                <w:szCs w:val="24"/>
              </w:rPr>
            </w:pPr>
            <w:r w:rsidRPr="00C91AAE">
              <w:rPr>
                <w:rFonts w:cstheme="minorHAnsi"/>
                <w:b/>
                <w:bCs/>
                <w:szCs w:val="24"/>
              </w:rPr>
              <w:t xml:space="preserve">The cause of the gender pay gap </w:t>
            </w:r>
            <w:r w:rsidRPr="00C91AAE">
              <w:rPr>
                <w:rFonts w:cstheme="minorHAnsi"/>
                <w:szCs w:val="24"/>
              </w:rPr>
              <w:t xml:space="preserve">is multifaceted. Looking at the percentage of women in Moorfield’s workforce at 68% (consistent with representation across the NHS), this is considerably higher than that of the UK workforce at 57%. </w:t>
            </w:r>
          </w:p>
          <w:p w14:paraId="29B0C3D8" w14:textId="77777777" w:rsidR="00C91AAE" w:rsidRPr="00C91AAE" w:rsidRDefault="00C91AAE" w:rsidP="00C91AAE">
            <w:pPr>
              <w:numPr>
                <w:ilvl w:val="1"/>
                <w:numId w:val="20"/>
              </w:numPr>
              <w:rPr>
                <w:rFonts w:cstheme="minorHAnsi"/>
                <w:szCs w:val="24"/>
              </w:rPr>
            </w:pPr>
            <w:r w:rsidRPr="00C91AAE">
              <w:rPr>
                <w:rFonts w:cstheme="minorHAnsi"/>
                <w:szCs w:val="24"/>
              </w:rPr>
              <w:t xml:space="preserve">Our data shows that women continue to be overrepresented in lower-paid roles and occupations, as seen in the staff group breakdown below. </w:t>
            </w:r>
          </w:p>
          <w:p w14:paraId="7D55EE1C" w14:textId="77777777" w:rsidR="00C91AAE" w:rsidRPr="00C91AAE" w:rsidRDefault="00C91AAE" w:rsidP="00C91AAE">
            <w:pPr>
              <w:numPr>
                <w:ilvl w:val="1"/>
                <w:numId w:val="20"/>
              </w:numPr>
              <w:rPr>
                <w:rFonts w:cstheme="minorHAnsi"/>
                <w:szCs w:val="24"/>
              </w:rPr>
            </w:pPr>
            <w:r w:rsidRPr="00C91AAE">
              <w:rPr>
                <w:rFonts w:cstheme="minorHAnsi"/>
                <w:szCs w:val="24"/>
              </w:rPr>
              <w:t xml:space="preserve">Women are also more likely to work part-time, which is generally less well-paid than full-time work on a per-hour basis. 27% of women at the trust work part-time, compared to 19% of men. This aligns with broader trends across the UK, where 38% of women and 14% of men work part-time. </w:t>
            </w:r>
          </w:p>
          <w:p w14:paraId="649CB4A9" w14:textId="77777777" w:rsidR="00C91AAE" w:rsidRPr="00C91AAE" w:rsidRDefault="00C91AAE" w:rsidP="00C91AAE">
            <w:pPr>
              <w:numPr>
                <w:ilvl w:val="1"/>
                <w:numId w:val="20"/>
              </w:numPr>
              <w:rPr>
                <w:rFonts w:cstheme="minorHAnsi"/>
                <w:szCs w:val="24"/>
              </w:rPr>
            </w:pPr>
            <w:r w:rsidRPr="00C91AAE">
              <w:rPr>
                <w:rFonts w:cstheme="minorHAnsi"/>
                <w:szCs w:val="24"/>
              </w:rPr>
              <w:t>Additionally, women are more likely to take time out of the labour force for caring responsibilities, which can impact career progression and earning potential. Nationally, 58% of carers in the UK are women, compared to 42% being men.</w:t>
            </w:r>
          </w:p>
          <w:p w14:paraId="6ACBA769" w14:textId="77777777" w:rsidR="00C91AAE" w:rsidRPr="00C91AAE" w:rsidRDefault="00C91AAE" w:rsidP="00C91AAE">
            <w:pPr>
              <w:numPr>
                <w:ilvl w:val="1"/>
                <w:numId w:val="20"/>
              </w:numPr>
              <w:rPr>
                <w:rFonts w:cstheme="minorHAnsi"/>
                <w:szCs w:val="24"/>
              </w:rPr>
            </w:pPr>
            <w:r w:rsidRPr="00C91AAE">
              <w:rPr>
                <w:rFonts w:cstheme="minorHAnsi"/>
                <w:szCs w:val="24"/>
              </w:rPr>
              <w:t>A deeper analysis of the Medical and Dental workforce highlights additional factors influencing the gender pay gap. While women represent 48% of this staff group, they are underrepresented at the Consultant level (40%), where pay is highest. In contrast, women are more represented at the non-consultant career grade level (60%) and in trainee grades (45%), where earnings are lower.</w:t>
            </w:r>
          </w:p>
          <w:p w14:paraId="21E25631" w14:textId="77777777" w:rsidR="00C91AAE" w:rsidRPr="00C91AAE" w:rsidRDefault="00C91AAE" w:rsidP="00C91AAE">
            <w:pPr>
              <w:numPr>
                <w:ilvl w:val="1"/>
                <w:numId w:val="20"/>
              </w:numPr>
              <w:rPr>
                <w:rFonts w:cstheme="minorHAnsi"/>
                <w:szCs w:val="24"/>
              </w:rPr>
            </w:pPr>
            <w:r w:rsidRPr="00C91AAE">
              <w:rPr>
                <w:rFonts w:cstheme="minorHAnsi"/>
                <w:szCs w:val="24"/>
              </w:rPr>
              <w:lastRenderedPageBreak/>
              <w:t>The gender pay gap also widens significantly after women have children, reflecting career breaks and slower progression due to balancing work with caregiving responsibilities.</w:t>
            </w:r>
          </w:p>
          <w:p w14:paraId="031150C6" w14:textId="77777777" w:rsidR="00C91AAE" w:rsidRPr="00C91AAE" w:rsidRDefault="00C91AAE" w:rsidP="00C91AAE">
            <w:pPr>
              <w:rPr>
                <w:rFonts w:cstheme="minorHAnsi"/>
                <w:szCs w:val="24"/>
              </w:rPr>
            </w:pPr>
            <w:r w:rsidRPr="00C91AAE">
              <w:rPr>
                <w:rFonts w:cstheme="minorHAnsi"/>
                <w:szCs w:val="24"/>
              </w:rPr>
              <w:t>Compared to 2023, the trust headcount has increased by 206 overall. Key workforce changes include:</w:t>
            </w:r>
          </w:p>
          <w:p w14:paraId="4A546D88" w14:textId="77777777" w:rsidR="00C91AAE" w:rsidRPr="00C91AAE" w:rsidRDefault="00C91AAE" w:rsidP="00C91AAE">
            <w:pPr>
              <w:numPr>
                <w:ilvl w:val="0"/>
                <w:numId w:val="16"/>
              </w:numPr>
              <w:rPr>
                <w:rFonts w:cstheme="minorHAnsi"/>
                <w:szCs w:val="24"/>
              </w:rPr>
            </w:pPr>
            <w:r w:rsidRPr="00C91AAE">
              <w:rPr>
                <w:rFonts w:cstheme="minorHAnsi"/>
                <w:szCs w:val="24"/>
              </w:rPr>
              <w:t>An increase in 21 more Administrative and Clerical female staff</w:t>
            </w:r>
          </w:p>
          <w:p w14:paraId="23FADDB1" w14:textId="77777777" w:rsidR="00C91AAE" w:rsidRPr="00C91AAE" w:rsidRDefault="00C91AAE" w:rsidP="00C91AAE">
            <w:pPr>
              <w:numPr>
                <w:ilvl w:val="0"/>
                <w:numId w:val="16"/>
              </w:numPr>
              <w:rPr>
                <w:rFonts w:cstheme="minorHAnsi"/>
                <w:szCs w:val="24"/>
              </w:rPr>
            </w:pPr>
            <w:r w:rsidRPr="00C91AAE">
              <w:rPr>
                <w:rFonts w:cstheme="minorHAnsi"/>
                <w:szCs w:val="24"/>
              </w:rPr>
              <w:t>An increase in 33 more Nursing &amp; Midwifery Registered female staff</w:t>
            </w:r>
          </w:p>
          <w:p w14:paraId="6A178D44" w14:textId="77777777" w:rsidR="00C91AAE" w:rsidRPr="00C91AAE" w:rsidRDefault="00C91AAE" w:rsidP="00C91AAE">
            <w:pPr>
              <w:rPr>
                <w:rFonts w:cstheme="minorHAnsi"/>
                <w:szCs w:val="24"/>
              </w:rPr>
            </w:pPr>
            <w:r w:rsidRPr="00C91AAE">
              <w:rPr>
                <w:rFonts w:cstheme="minorHAnsi"/>
                <w:szCs w:val="24"/>
              </w:rPr>
              <w:t>These trends highlight ongoing gender representation patterns within the workforce, reinforcing the importance of continued efforts to support equitable career progression for women in all roles.</w:t>
            </w:r>
          </w:p>
          <w:p w14:paraId="24934BDC" w14:textId="77777777" w:rsidR="00C91AAE" w:rsidRPr="00C91AAE" w:rsidRDefault="00C91AAE" w:rsidP="00C91AAE">
            <w:pPr>
              <w:rPr>
                <w:rFonts w:cstheme="minorHAnsi"/>
                <w:b/>
                <w:bCs/>
                <w:szCs w:val="24"/>
                <w:lang w:val="en-US"/>
              </w:rPr>
            </w:pPr>
          </w:p>
          <w:tbl>
            <w:tblPr>
              <w:tblW w:w="9087" w:type="dxa"/>
              <w:tblInd w:w="687" w:type="dxa"/>
              <w:tblLook w:val="04A0" w:firstRow="1" w:lastRow="0" w:firstColumn="1" w:lastColumn="0" w:noHBand="0" w:noVBand="1"/>
            </w:tblPr>
            <w:tblGrid>
              <w:gridCol w:w="4072"/>
              <w:gridCol w:w="1651"/>
              <w:gridCol w:w="1178"/>
              <w:gridCol w:w="1275"/>
              <w:gridCol w:w="911"/>
            </w:tblGrid>
            <w:tr w:rsidR="00C91AAE" w:rsidRPr="00C91AAE" w14:paraId="5B58C223" w14:textId="77777777" w:rsidTr="003352D5">
              <w:trPr>
                <w:trHeight w:val="553"/>
              </w:trPr>
              <w:tc>
                <w:tcPr>
                  <w:tcW w:w="4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20ED0" w14:textId="77777777" w:rsidR="00C91AAE" w:rsidRPr="00C91AAE" w:rsidRDefault="00C91AAE" w:rsidP="00C91AAE">
                  <w:pPr>
                    <w:rPr>
                      <w:rFonts w:cstheme="minorHAnsi"/>
                      <w:b/>
                      <w:bCs/>
                      <w:szCs w:val="24"/>
                    </w:rPr>
                  </w:pPr>
                  <w:r w:rsidRPr="00C91AAE">
                    <w:rPr>
                      <w:rFonts w:cstheme="minorHAnsi"/>
                      <w:b/>
                      <w:bCs/>
                      <w:szCs w:val="24"/>
                    </w:rPr>
                    <w:t>Staff Overview</w:t>
                  </w:r>
                </w:p>
              </w:tc>
              <w:tc>
                <w:tcPr>
                  <w:tcW w:w="282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8F1DE0" w14:textId="77777777" w:rsidR="00C91AAE" w:rsidRPr="00C91AAE" w:rsidRDefault="00C91AAE" w:rsidP="00C91AAE">
                  <w:pPr>
                    <w:rPr>
                      <w:rFonts w:cstheme="minorHAnsi"/>
                      <w:b/>
                      <w:bCs/>
                      <w:szCs w:val="24"/>
                    </w:rPr>
                  </w:pPr>
                  <w:r w:rsidRPr="00C91AAE">
                    <w:rPr>
                      <w:rFonts w:cstheme="minorHAnsi"/>
                      <w:b/>
                      <w:bCs/>
                      <w:szCs w:val="24"/>
                    </w:rPr>
                    <w:t>Headcount</w:t>
                  </w:r>
                </w:p>
              </w:tc>
              <w:tc>
                <w:tcPr>
                  <w:tcW w:w="21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79EBD3" w14:textId="77777777" w:rsidR="00C91AAE" w:rsidRPr="00C91AAE" w:rsidRDefault="00C91AAE" w:rsidP="00C91AAE">
                  <w:pPr>
                    <w:rPr>
                      <w:rFonts w:cstheme="minorHAnsi"/>
                      <w:b/>
                      <w:bCs/>
                      <w:szCs w:val="24"/>
                    </w:rPr>
                  </w:pPr>
                  <w:r w:rsidRPr="00C91AAE">
                    <w:rPr>
                      <w:rFonts w:cstheme="minorHAnsi"/>
                      <w:b/>
                      <w:bCs/>
                      <w:szCs w:val="24"/>
                    </w:rPr>
                    <w:t>% in Band</w:t>
                  </w:r>
                </w:p>
              </w:tc>
            </w:tr>
            <w:tr w:rsidR="00C91AAE" w:rsidRPr="00C91AAE" w14:paraId="1CF28788" w14:textId="77777777" w:rsidTr="003352D5">
              <w:trPr>
                <w:trHeight w:val="553"/>
              </w:trPr>
              <w:tc>
                <w:tcPr>
                  <w:tcW w:w="4072" w:type="dxa"/>
                  <w:tcBorders>
                    <w:top w:val="nil"/>
                    <w:left w:val="single" w:sz="4" w:space="0" w:color="auto"/>
                    <w:bottom w:val="single" w:sz="4" w:space="0" w:color="auto"/>
                    <w:right w:val="single" w:sz="4" w:space="0" w:color="auto"/>
                  </w:tcBorders>
                  <w:shd w:val="clear" w:color="000000" w:fill="8EA9DB"/>
                  <w:noWrap/>
                  <w:vAlign w:val="bottom"/>
                  <w:hideMark/>
                </w:tcPr>
                <w:p w14:paraId="771C934D" w14:textId="77777777" w:rsidR="00C91AAE" w:rsidRPr="00C91AAE" w:rsidRDefault="00C91AAE" w:rsidP="00C91AAE">
                  <w:pPr>
                    <w:rPr>
                      <w:rFonts w:cstheme="minorHAnsi"/>
                      <w:b/>
                      <w:bCs/>
                      <w:szCs w:val="24"/>
                    </w:rPr>
                  </w:pPr>
                  <w:r w:rsidRPr="00C91AAE">
                    <w:rPr>
                      <w:rFonts w:cstheme="minorHAnsi"/>
                      <w:b/>
                      <w:bCs/>
                      <w:szCs w:val="24"/>
                    </w:rPr>
                    <w:t>Staff Group</w:t>
                  </w:r>
                </w:p>
              </w:tc>
              <w:tc>
                <w:tcPr>
                  <w:tcW w:w="1651" w:type="dxa"/>
                  <w:tcBorders>
                    <w:top w:val="nil"/>
                    <w:left w:val="nil"/>
                    <w:bottom w:val="single" w:sz="4" w:space="0" w:color="auto"/>
                    <w:right w:val="single" w:sz="4" w:space="0" w:color="auto"/>
                  </w:tcBorders>
                  <w:shd w:val="clear" w:color="000000" w:fill="8EA9DB"/>
                  <w:noWrap/>
                  <w:vAlign w:val="bottom"/>
                  <w:hideMark/>
                </w:tcPr>
                <w:p w14:paraId="1E4BE1F8" w14:textId="77777777" w:rsidR="00C91AAE" w:rsidRPr="00C91AAE" w:rsidRDefault="00C91AAE" w:rsidP="00C91AAE">
                  <w:pPr>
                    <w:rPr>
                      <w:rFonts w:cstheme="minorHAnsi"/>
                      <w:b/>
                      <w:bCs/>
                      <w:szCs w:val="24"/>
                    </w:rPr>
                  </w:pPr>
                  <w:r w:rsidRPr="00C91AAE">
                    <w:rPr>
                      <w:rFonts w:cstheme="minorHAnsi"/>
                      <w:b/>
                      <w:bCs/>
                      <w:szCs w:val="24"/>
                    </w:rPr>
                    <w:t>Female</w:t>
                  </w:r>
                </w:p>
              </w:tc>
              <w:tc>
                <w:tcPr>
                  <w:tcW w:w="1178" w:type="dxa"/>
                  <w:tcBorders>
                    <w:top w:val="nil"/>
                    <w:left w:val="nil"/>
                    <w:bottom w:val="single" w:sz="4" w:space="0" w:color="auto"/>
                    <w:right w:val="single" w:sz="4" w:space="0" w:color="auto"/>
                  </w:tcBorders>
                  <w:shd w:val="clear" w:color="000000" w:fill="8EA9DB"/>
                  <w:noWrap/>
                  <w:vAlign w:val="bottom"/>
                  <w:hideMark/>
                </w:tcPr>
                <w:p w14:paraId="60289745" w14:textId="77777777" w:rsidR="00C91AAE" w:rsidRPr="00C91AAE" w:rsidRDefault="00C91AAE" w:rsidP="00C91AAE">
                  <w:pPr>
                    <w:rPr>
                      <w:rFonts w:cstheme="minorHAnsi"/>
                      <w:b/>
                      <w:bCs/>
                      <w:szCs w:val="24"/>
                    </w:rPr>
                  </w:pPr>
                  <w:r w:rsidRPr="00C91AAE">
                    <w:rPr>
                      <w:rFonts w:cstheme="minorHAnsi"/>
                      <w:b/>
                      <w:bCs/>
                      <w:szCs w:val="24"/>
                    </w:rPr>
                    <w:t>Male</w:t>
                  </w:r>
                </w:p>
              </w:tc>
              <w:tc>
                <w:tcPr>
                  <w:tcW w:w="1275" w:type="dxa"/>
                  <w:tcBorders>
                    <w:top w:val="nil"/>
                    <w:left w:val="nil"/>
                    <w:bottom w:val="single" w:sz="4" w:space="0" w:color="auto"/>
                    <w:right w:val="single" w:sz="4" w:space="0" w:color="auto"/>
                  </w:tcBorders>
                  <w:shd w:val="clear" w:color="000000" w:fill="8EA9DB"/>
                  <w:noWrap/>
                  <w:vAlign w:val="bottom"/>
                  <w:hideMark/>
                </w:tcPr>
                <w:p w14:paraId="10402A68" w14:textId="77777777" w:rsidR="00C91AAE" w:rsidRPr="00C91AAE" w:rsidRDefault="00C91AAE" w:rsidP="00C91AAE">
                  <w:pPr>
                    <w:rPr>
                      <w:rFonts w:cstheme="minorHAnsi"/>
                      <w:b/>
                      <w:bCs/>
                      <w:szCs w:val="24"/>
                    </w:rPr>
                  </w:pPr>
                  <w:r w:rsidRPr="00C91AAE">
                    <w:rPr>
                      <w:rFonts w:cstheme="minorHAnsi"/>
                      <w:b/>
                      <w:bCs/>
                      <w:szCs w:val="24"/>
                    </w:rPr>
                    <w:t>Female</w:t>
                  </w:r>
                </w:p>
              </w:tc>
              <w:tc>
                <w:tcPr>
                  <w:tcW w:w="911" w:type="dxa"/>
                  <w:tcBorders>
                    <w:top w:val="nil"/>
                    <w:left w:val="nil"/>
                    <w:bottom w:val="single" w:sz="4" w:space="0" w:color="auto"/>
                    <w:right w:val="single" w:sz="4" w:space="0" w:color="auto"/>
                  </w:tcBorders>
                  <w:shd w:val="clear" w:color="000000" w:fill="8EA9DB"/>
                  <w:noWrap/>
                  <w:vAlign w:val="bottom"/>
                  <w:hideMark/>
                </w:tcPr>
                <w:p w14:paraId="08A78052" w14:textId="77777777" w:rsidR="00C91AAE" w:rsidRPr="00C91AAE" w:rsidRDefault="00C91AAE" w:rsidP="00C91AAE">
                  <w:pPr>
                    <w:rPr>
                      <w:rFonts w:cstheme="minorHAnsi"/>
                      <w:b/>
                      <w:bCs/>
                      <w:szCs w:val="24"/>
                    </w:rPr>
                  </w:pPr>
                  <w:r w:rsidRPr="00C91AAE">
                    <w:rPr>
                      <w:rFonts w:cstheme="minorHAnsi"/>
                      <w:b/>
                      <w:bCs/>
                      <w:szCs w:val="24"/>
                    </w:rPr>
                    <w:t>Male</w:t>
                  </w:r>
                </w:p>
              </w:tc>
            </w:tr>
            <w:tr w:rsidR="00C91AAE" w:rsidRPr="00C91AAE" w14:paraId="27B7590C" w14:textId="77777777" w:rsidTr="003352D5">
              <w:trPr>
                <w:trHeight w:val="553"/>
              </w:trPr>
              <w:tc>
                <w:tcPr>
                  <w:tcW w:w="4072" w:type="dxa"/>
                  <w:tcBorders>
                    <w:top w:val="nil"/>
                    <w:left w:val="single" w:sz="4" w:space="0" w:color="auto"/>
                    <w:bottom w:val="single" w:sz="4" w:space="0" w:color="auto"/>
                    <w:right w:val="single" w:sz="4" w:space="0" w:color="auto"/>
                  </w:tcBorders>
                  <w:shd w:val="clear" w:color="auto" w:fill="auto"/>
                  <w:noWrap/>
                  <w:vAlign w:val="bottom"/>
                  <w:hideMark/>
                </w:tcPr>
                <w:p w14:paraId="1F4639A9" w14:textId="77777777" w:rsidR="00C91AAE" w:rsidRPr="00C91AAE" w:rsidRDefault="00C91AAE" w:rsidP="00C91AAE">
                  <w:pPr>
                    <w:rPr>
                      <w:rFonts w:cstheme="minorHAnsi"/>
                      <w:b/>
                      <w:bCs/>
                      <w:szCs w:val="24"/>
                    </w:rPr>
                  </w:pPr>
                  <w:r w:rsidRPr="00C91AAE">
                    <w:rPr>
                      <w:rFonts w:cstheme="minorHAnsi"/>
                      <w:b/>
                      <w:bCs/>
                      <w:szCs w:val="24"/>
                    </w:rPr>
                    <w:t>Add Prof Scientific and Technic</w:t>
                  </w:r>
                </w:p>
              </w:tc>
              <w:tc>
                <w:tcPr>
                  <w:tcW w:w="1651" w:type="dxa"/>
                  <w:tcBorders>
                    <w:top w:val="nil"/>
                    <w:left w:val="nil"/>
                    <w:bottom w:val="single" w:sz="4" w:space="0" w:color="auto"/>
                    <w:right w:val="single" w:sz="4" w:space="0" w:color="auto"/>
                  </w:tcBorders>
                  <w:shd w:val="clear" w:color="auto" w:fill="auto"/>
                  <w:noWrap/>
                  <w:vAlign w:val="bottom"/>
                  <w:hideMark/>
                </w:tcPr>
                <w:p w14:paraId="641EC649" w14:textId="77777777" w:rsidR="00C91AAE" w:rsidRPr="00C91AAE" w:rsidRDefault="00C91AAE" w:rsidP="00C91AAE">
                  <w:pPr>
                    <w:rPr>
                      <w:rFonts w:cstheme="minorHAnsi"/>
                      <w:b/>
                      <w:bCs/>
                      <w:szCs w:val="24"/>
                    </w:rPr>
                  </w:pPr>
                  <w:r w:rsidRPr="00C91AAE">
                    <w:rPr>
                      <w:rFonts w:cstheme="minorHAnsi"/>
                      <w:b/>
                      <w:bCs/>
                      <w:szCs w:val="24"/>
                    </w:rPr>
                    <w:t>188</w:t>
                  </w:r>
                </w:p>
              </w:tc>
              <w:tc>
                <w:tcPr>
                  <w:tcW w:w="1178" w:type="dxa"/>
                  <w:tcBorders>
                    <w:top w:val="nil"/>
                    <w:left w:val="nil"/>
                    <w:bottom w:val="single" w:sz="4" w:space="0" w:color="auto"/>
                    <w:right w:val="single" w:sz="4" w:space="0" w:color="auto"/>
                  </w:tcBorders>
                  <w:shd w:val="clear" w:color="auto" w:fill="auto"/>
                  <w:noWrap/>
                  <w:vAlign w:val="bottom"/>
                  <w:hideMark/>
                </w:tcPr>
                <w:p w14:paraId="0BA9B9B6" w14:textId="77777777" w:rsidR="00C91AAE" w:rsidRPr="00C91AAE" w:rsidRDefault="00C91AAE" w:rsidP="00C91AAE">
                  <w:pPr>
                    <w:rPr>
                      <w:rFonts w:cstheme="minorHAnsi"/>
                      <w:b/>
                      <w:bCs/>
                      <w:szCs w:val="24"/>
                    </w:rPr>
                  </w:pPr>
                  <w:r w:rsidRPr="00C91AAE">
                    <w:rPr>
                      <w:rFonts w:cstheme="minorHAnsi"/>
                      <w:b/>
                      <w:bCs/>
                      <w:szCs w:val="24"/>
                    </w:rPr>
                    <w:t>67</w:t>
                  </w:r>
                </w:p>
              </w:tc>
              <w:tc>
                <w:tcPr>
                  <w:tcW w:w="1275" w:type="dxa"/>
                  <w:tcBorders>
                    <w:top w:val="nil"/>
                    <w:left w:val="nil"/>
                    <w:bottom w:val="single" w:sz="4" w:space="0" w:color="auto"/>
                    <w:right w:val="single" w:sz="4" w:space="0" w:color="auto"/>
                  </w:tcBorders>
                  <w:shd w:val="clear" w:color="auto" w:fill="auto"/>
                  <w:noWrap/>
                  <w:vAlign w:val="bottom"/>
                  <w:hideMark/>
                </w:tcPr>
                <w:p w14:paraId="094630C5" w14:textId="77777777" w:rsidR="00C91AAE" w:rsidRPr="00C91AAE" w:rsidRDefault="00C91AAE" w:rsidP="00C91AAE">
                  <w:pPr>
                    <w:rPr>
                      <w:rFonts w:cstheme="minorHAnsi"/>
                      <w:b/>
                      <w:bCs/>
                      <w:szCs w:val="24"/>
                    </w:rPr>
                  </w:pPr>
                  <w:r w:rsidRPr="00C91AAE">
                    <w:rPr>
                      <w:rFonts w:cstheme="minorHAnsi"/>
                      <w:b/>
                      <w:bCs/>
                      <w:szCs w:val="24"/>
                    </w:rPr>
                    <w:t>74%</w:t>
                  </w:r>
                </w:p>
              </w:tc>
              <w:tc>
                <w:tcPr>
                  <w:tcW w:w="911" w:type="dxa"/>
                  <w:tcBorders>
                    <w:top w:val="nil"/>
                    <w:left w:val="nil"/>
                    <w:bottom w:val="single" w:sz="4" w:space="0" w:color="auto"/>
                    <w:right w:val="single" w:sz="4" w:space="0" w:color="auto"/>
                  </w:tcBorders>
                  <w:shd w:val="clear" w:color="auto" w:fill="auto"/>
                  <w:noWrap/>
                  <w:vAlign w:val="bottom"/>
                  <w:hideMark/>
                </w:tcPr>
                <w:p w14:paraId="64C9AB23" w14:textId="77777777" w:rsidR="00C91AAE" w:rsidRPr="00C91AAE" w:rsidRDefault="00C91AAE" w:rsidP="00C91AAE">
                  <w:pPr>
                    <w:rPr>
                      <w:rFonts w:cstheme="minorHAnsi"/>
                      <w:b/>
                      <w:bCs/>
                      <w:szCs w:val="24"/>
                    </w:rPr>
                  </w:pPr>
                  <w:r w:rsidRPr="00C91AAE">
                    <w:rPr>
                      <w:rFonts w:cstheme="minorHAnsi"/>
                      <w:b/>
                      <w:bCs/>
                      <w:szCs w:val="24"/>
                    </w:rPr>
                    <w:t>26%</w:t>
                  </w:r>
                </w:p>
              </w:tc>
            </w:tr>
            <w:tr w:rsidR="00C91AAE" w:rsidRPr="00C91AAE" w14:paraId="57E219E5" w14:textId="77777777" w:rsidTr="003352D5">
              <w:trPr>
                <w:trHeight w:val="553"/>
              </w:trPr>
              <w:tc>
                <w:tcPr>
                  <w:tcW w:w="4072" w:type="dxa"/>
                  <w:tcBorders>
                    <w:top w:val="nil"/>
                    <w:left w:val="single" w:sz="4" w:space="0" w:color="auto"/>
                    <w:bottom w:val="single" w:sz="4" w:space="0" w:color="auto"/>
                    <w:right w:val="single" w:sz="4" w:space="0" w:color="auto"/>
                  </w:tcBorders>
                  <w:shd w:val="clear" w:color="auto" w:fill="auto"/>
                  <w:noWrap/>
                  <w:vAlign w:val="bottom"/>
                  <w:hideMark/>
                </w:tcPr>
                <w:p w14:paraId="3FDFFA73" w14:textId="77777777" w:rsidR="00C91AAE" w:rsidRPr="00C91AAE" w:rsidRDefault="00C91AAE" w:rsidP="00C91AAE">
                  <w:pPr>
                    <w:rPr>
                      <w:rFonts w:cstheme="minorHAnsi"/>
                      <w:b/>
                      <w:bCs/>
                      <w:szCs w:val="24"/>
                    </w:rPr>
                  </w:pPr>
                  <w:r w:rsidRPr="00C91AAE">
                    <w:rPr>
                      <w:rFonts w:cstheme="minorHAnsi"/>
                      <w:b/>
                      <w:bCs/>
                      <w:szCs w:val="24"/>
                    </w:rPr>
                    <w:t>Additional Clinical Services</w:t>
                  </w:r>
                </w:p>
              </w:tc>
              <w:tc>
                <w:tcPr>
                  <w:tcW w:w="1651" w:type="dxa"/>
                  <w:tcBorders>
                    <w:top w:val="nil"/>
                    <w:left w:val="nil"/>
                    <w:bottom w:val="single" w:sz="4" w:space="0" w:color="auto"/>
                    <w:right w:val="single" w:sz="4" w:space="0" w:color="auto"/>
                  </w:tcBorders>
                  <w:shd w:val="clear" w:color="auto" w:fill="auto"/>
                  <w:noWrap/>
                  <w:vAlign w:val="bottom"/>
                  <w:hideMark/>
                </w:tcPr>
                <w:p w14:paraId="0E97E67F" w14:textId="77777777" w:rsidR="00C91AAE" w:rsidRPr="00C91AAE" w:rsidRDefault="00C91AAE" w:rsidP="00C91AAE">
                  <w:pPr>
                    <w:rPr>
                      <w:rFonts w:cstheme="minorHAnsi"/>
                      <w:b/>
                      <w:bCs/>
                      <w:szCs w:val="24"/>
                    </w:rPr>
                  </w:pPr>
                  <w:r w:rsidRPr="00C91AAE">
                    <w:rPr>
                      <w:rFonts w:cstheme="minorHAnsi"/>
                      <w:b/>
                      <w:bCs/>
                      <w:szCs w:val="24"/>
                    </w:rPr>
                    <w:t>294</w:t>
                  </w:r>
                </w:p>
              </w:tc>
              <w:tc>
                <w:tcPr>
                  <w:tcW w:w="1178" w:type="dxa"/>
                  <w:tcBorders>
                    <w:top w:val="nil"/>
                    <w:left w:val="nil"/>
                    <w:bottom w:val="single" w:sz="4" w:space="0" w:color="auto"/>
                    <w:right w:val="single" w:sz="4" w:space="0" w:color="auto"/>
                  </w:tcBorders>
                  <w:shd w:val="clear" w:color="auto" w:fill="auto"/>
                  <w:noWrap/>
                  <w:vAlign w:val="bottom"/>
                  <w:hideMark/>
                </w:tcPr>
                <w:p w14:paraId="74724C02" w14:textId="77777777" w:rsidR="00C91AAE" w:rsidRPr="00C91AAE" w:rsidRDefault="00C91AAE" w:rsidP="00C91AAE">
                  <w:pPr>
                    <w:rPr>
                      <w:rFonts w:cstheme="minorHAnsi"/>
                      <w:b/>
                      <w:bCs/>
                      <w:szCs w:val="24"/>
                    </w:rPr>
                  </w:pPr>
                  <w:r w:rsidRPr="00C91AAE">
                    <w:rPr>
                      <w:rFonts w:cstheme="minorHAnsi"/>
                      <w:b/>
                      <w:bCs/>
                      <w:szCs w:val="24"/>
                    </w:rPr>
                    <w:t>127</w:t>
                  </w:r>
                </w:p>
              </w:tc>
              <w:tc>
                <w:tcPr>
                  <w:tcW w:w="1275" w:type="dxa"/>
                  <w:tcBorders>
                    <w:top w:val="nil"/>
                    <w:left w:val="nil"/>
                    <w:bottom w:val="single" w:sz="4" w:space="0" w:color="auto"/>
                    <w:right w:val="single" w:sz="4" w:space="0" w:color="auto"/>
                  </w:tcBorders>
                  <w:shd w:val="clear" w:color="auto" w:fill="auto"/>
                  <w:noWrap/>
                  <w:vAlign w:val="bottom"/>
                  <w:hideMark/>
                </w:tcPr>
                <w:p w14:paraId="5FDAD991" w14:textId="77777777" w:rsidR="00C91AAE" w:rsidRPr="00C91AAE" w:rsidRDefault="00C91AAE" w:rsidP="00C91AAE">
                  <w:pPr>
                    <w:rPr>
                      <w:rFonts w:cstheme="minorHAnsi"/>
                      <w:b/>
                      <w:bCs/>
                      <w:szCs w:val="24"/>
                    </w:rPr>
                  </w:pPr>
                  <w:r w:rsidRPr="00C91AAE">
                    <w:rPr>
                      <w:rFonts w:cstheme="minorHAnsi"/>
                      <w:b/>
                      <w:bCs/>
                      <w:szCs w:val="24"/>
                    </w:rPr>
                    <w:t>70%</w:t>
                  </w:r>
                </w:p>
              </w:tc>
              <w:tc>
                <w:tcPr>
                  <w:tcW w:w="911" w:type="dxa"/>
                  <w:tcBorders>
                    <w:top w:val="nil"/>
                    <w:left w:val="nil"/>
                    <w:bottom w:val="single" w:sz="4" w:space="0" w:color="auto"/>
                    <w:right w:val="single" w:sz="4" w:space="0" w:color="auto"/>
                  </w:tcBorders>
                  <w:shd w:val="clear" w:color="auto" w:fill="auto"/>
                  <w:noWrap/>
                  <w:vAlign w:val="bottom"/>
                  <w:hideMark/>
                </w:tcPr>
                <w:p w14:paraId="69D97ECB" w14:textId="77777777" w:rsidR="00C91AAE" w:rsidRPr="00C91AAE" w:rsidRDefault="00C91AAE" w:rsidP="00C91AAE">
                  <w:pPr>
                    <w:rPr>
                      <w:rFonts w:cstheme="minorHAnsi"/>
                      <w:b/>
                      <w:bCs/>
                      <w:szCs w:val="24"/>
                    </w:rPr>
                  </w:pPr>
                  <w:r w:rsidRPr="00C91AAE">
                    <w:rPr>
                      <w:rFonts w:cstheme="minorHAnsi"/>
                      <w:b/>
                      <w:bCs/>
                      <w:szCs w:val="24"/>
                    </w:rPr>
                    <w:t>30%</w:t>
                  </w:r>
                </w:p>
              </w:tc>
            </w:tr>
            <w:tr w:rsidR="00C91AAE" w:rsidRPr="00C91AAE" w14:paraId="4BB96765" w14:textId="77777777" w:rsidTr="003352D5">
              <w:trPr>
                <w:trHeight w:val="553"/>
              </w:trPr>
              <w:tc>
                <w:tcPr>
                  <w:tcW w:w="4072" w:type="dxa"/>
                  <w:tcBorders>
                    <w:top w:val="nil"/>
                    <w:left w:val="single" w:sz="4" w:space="0" w:color="auto"/>
                    <w:bottom w:val="single" w:sz="4" w:space="0" w:color="auto"/>
                    <w:right w:val="single" w:sz="4" w:space="0" w:color="auto"/>
                  </w:tcBorders>
                  <w:shd w:val="clear" w:color="auto" w:fill="auto"/>
                  <w:noWrap/>
                  <w:vAlign w:val="bottom"/>
                  <w:hideMark/>
                </w:tcPr>
                <w:p w14:paraId="18085277" w14:textId="77777777" w:rsidR="00C91AAE" w:rsidRPr="00C91AAE" w:rsidRDefault="00C91AAE" w:rsidP="00C91AAE">
                  <w:pPr>
                    <w:rPr>
                      <w:rFonts w:cstheme="minorHAnsi"/>
                      <w:b/>
                      <w:bCs/>
                      <w:szCs w:val="24"/>
                    </w:rPr>
                  </w:pPr>
                  <w:r w:rsidRPr="00C91AAE">
                    <w:rPr>
                      <w:rFonts w:cstheme="minorHAnsi"/>
                      <w:b/>
                      <w:bCs/>
                      <w:szCs w:val="24"/>
                    </w:rPr>
                    <w:t>Administrative and Clerical</w:t>
                  </w:r>
                </w:p>
              </w:tc>
              <w:tc>
                <w:tcPr>
                  <w:tcW w:w="1651" w:type="dxa"/>
                  <w:tcBorders>
                    <w:top w:val="nil"/>
                    <w:left w:val="nil"/>
                    <w:bottom w:val="single" w:sz="4" w:space="0" w:color="auto"/>
                    <w:right w:val="single" w:sz="4" w:space="0" w:color="auto"/>
                  </w:tcBorders>
                  <w:shd w:val="clear" w:color="auto" w:fill="auto"/>
                  <w:noWrap/>
                  <w:vAlign w:val="bottom"/>
                  <w:hideMark/>
                </w:tcPr>
                <w:p w14:paraId="125064C4" w14:textId="77777777" w:rsidR="00C91AAE" w:rsidRPr="00C91AAE" w:rsidRDefault="00C91AAE" w:rsidP="00C91AAE">
                  <w:pPr>
                    <w:rPr>
                      <w:rFonts w:cstheme="minorHAnsi"/>
                      <w:b/>
                      <w:bCs/>
                      <w:szCs w:val="24"/>
                    </w:rPr>
                  </w:pPr>
                  <w:r w:rsidRPr="00C91AAE">
                    <w:rPr>
                      <w:rFonts w:cstheme="minorHAnsi"/>
                      <w:b/>
                      <w:bCs/>
                      <w:szCs w:val="24"/>
                    </w:rPr>
                    <w:t>594</w:t>
                  </w:r>
                </w:p>
              </w:tc>
              <w:tc>
                <w:tcPr>
                  <w:tcW w:w="1178" w:type="dxa"/>
                  <w:tcBorders>
                    <w:top w:val="nil"/>
                    <w:left w:val="nil"/>
                    <w:bottom w:val="single" w:sz="4" w:space="0" w:color="auto"/>
                    <w:right w:val="single" w:sz="4" w:space="0" w:color="auto"/>
                  </w:tcBorders>
                  <w:shd w:val="clear" w:color="auto" w:fill="auto"/>
                  <w:noWrap/>
                  <w:vAlign w:val="bottom"/>
                  <w:hideMark/>
                </w:tcPr>
                <w:p w14:paraId="31367C42" w14:textId="77777777" w:rsidR="00C91AAE" w:rsidRPr="00C91AAE" w:rsidRDefault="00C91AAE" w:rsidP="00C91AAE">
                  <w:pPr>
                    <w:rPr>
                      <w:rFonts w:cstheme="minorHAnsi"/>
                      <w:b/>
                      <w:bCs/>
                      <w:szCs w:val="24"/>
                    </w:rPr>
                  </w:pPr>
                  <w:r w:rsidRPr="00C91AAE">
                    <w:rPr>
                      <w:rFonts w:cstheme="minorHAnsi"/>
                      <w:b/>
                      <w:bCs/>
                      <w:szCs w:val="24"/>
                    </w:rPr>
                    <w:t>262</w:t>
                  </w:r>
                </w:p>
              </w:tc>
              <w:tc>
                <w:tcPr>
                  <w:tcW w:w="1275" w:type="dxa"/>
                  <w:tcBorders>
                    <w:top w:val="nil"/>
                    <w:left w:val="nil"/>
                    <w:bottom w:val="single" w:sz="4" w:space="0" w:color="auto"/>
                    <w:right w:val="single" w:sz="4" w:space="0" w:color="auto"/>
                  </w:tcBorders>
                  <w:shd w:val="clear" w:color="auto" w:fill="auto"/>
                  <w:noWrap/>
                  <w:vAlign w:val="bottom"/>
                  <w:hideMark/>
                </w:tcPr>
                <w:p w14:paraId="1249CDA4" w14:textId="77777777" w:rsidR="00C91AAE" w:rsidRPr="00C91AAE" w:rsidRDefault="00C91AAE" w:rsidP="00C91AAE">
                  <w:pPr>
                    <w:rPr>
                      <w:rFonts w:cstheme="minorHAnsi"/>
                      <w:b/>
                      <w:bCs/>
                      <w:szCs w:val="24"/>
                    </w:rPr>
                  </w:pPr>
                  <w:r w:rsidRPr="00C91AAE">
                    <w:rPr>
                      <w:rFonts w:cstheme="minorHAnsi"/>
                      <w:b/>
                      <w:bCs/>
                      <w:szCs w:val="24"/>
                    </w:rPr>
                    <w:t>69%</w:t>
                  </w:r>
                </w:p>
              </w:tc>
              <w:tc>
                <w:tcPr>
                  <w:tcW w:w="911" w:type="dxa"/>
                  <w:tcBorders>
                    <w:top w:val="nil"/>
                    <w:left w:val="nil"/>
                    <w:bottom w:val="single" w:sz="4" w:space="0" w:color="auto"/>
                    <w:right w:val="single" w:sz="4" w:space="0" w:color="auto"/>
                  </w:tcBorders>
                  <w:shd w:val="clear" w:color="auto" w:fill="auto"/>
                  <w:noWrap/>
                  <w:vAlign w:val="bottom"/>
                  <w:hideMark/>
                </w:tcPr>
                <w:p w14:paraId="3462C201" w14:textId="77777777" w:rsidR="00C91AAE" w:rsidRPr="00C91AAE" w:rsidRDefault="00C91AAE" w:rsidP="00C91AAE">
                  <w:pPr>
                    <w:rPr>
                      <w:rFonts w:cstheme="minorHAnsi"/>
                      <w:b/>
                      <w:bCs/>
                      <w:szCs w:val="24"/>
                    </w:rPr>
                  </w:pPr>
                  <w:r w:rsidRPr="00C91AAE">
                    <w:rPr>
                      <w:rFonts w:cstheme="minorHAnsi"/>
                      <w:b/>
                      <w:bCs/>
                      <w:szCs w:val="24"/>
                    </w:rPr>
                    <w:t>31%</w:t>
                  </w:r>
                </w:p>
              </w:tc>
            </w:tr>
            <w:tr w:rsidR="00C91AAE" w:rsidRPr="00C91AAE" w14:paraId="03E5D08F" w14:textId="77777777" w:rsidTr="003352D5">
              <w:trPr>
                <w:trHeight w:val="553"/>
              </w:trPr>
              <w:tc>
                <w:tcPr>
                  <w:tcW w:w="4072" w:type="dxa"/>
                  <w:tcBorders>
                    <w:top w:val="nil"/>
                    <w:left w:val="single" w:sz="4" w:space="0" w:color="auto"/>
                    <w:bottom w:val="single" w:sz="4" w:space="0" w:color="auto"/>
                    <w:right w:val="single" w:sz="4" w:space="0" w:color="auto"/>
                  </w:tcBorders>
                  <w:shd w:val="clear" w:color="auto" w:fill="auto"/>
                  <w:noWrap/>
                  <w:vAlign w:val="bottom"/>
                  <w:hideMark/>
                </w:tcPr>
                <w:p w14:paraId="22C06F06" w14:textId="77777777" w:rsidR="00C91AAE" w:rsidRPr="00C91AAE" w:rsidRDefault="00C91AAE" w:rsidP="00C91AAE">
                  <w:pPr>
                    <w:rPr>
                      <w:rFonts w:cstheme="minorHAnsi"/>
                      <w:b/>
                      <w:bCs/>
                      <w:szCs w:val="24"/>
                    </w:rPr>
                  </w:pPr>
                  <w:r w:rsidRPr="00C91AAE">
                    <w:rPr>
                      <w:rFonts w:cstheme="minorHAnsi"/>
                      <w:b/>
                      <w:bCs/>
                      <w:szCs w:val="24"/>
                    </w:rPr>
                    <w:t>Allied Health Professionals</w:t>
                  </w:r>
                </w:p>
              </w:tc>
              <w:tc>
                <w:tcPr>
                  <w:tcW w:w="1651" w:type="dxa"/>
                  <w:tcBorders>
                    <w:top w:val="nil"/>
                    <w:left w:val="nil"/>
                    <w:bottom w:val="single" w:sz="4" w:space="0" w:color="auto"/>
                    <w:right w:val="single" w:sz="4" w:space="0" w:color="auto"/>
                  </w:tcBorders>
                  <w:shd w:val="clear" w:color="auto" w:fill="auto"/>
                  <w:noWrap/>
                  <w:vAlign w:val="bottom"/>
                  <w:hideMark/>
                </w:tcPr>
                <w:p w14:paraId="4B701125" w14:textId="77777777" w:rsidR="00C91AAE" w:rsidRPr="00C91AAE" w:rsidRDefault="00C91AAE" w:rsidP="00C91AAE">
                  <w:pPr>
                    <w:rPr>
                      <w:rFonts w:cstheme="minorHAnsi"/>
                      <w:b/>
                      <w:bCs/>
                      <w:szCs w:val="24"/>
                    </w:rPr>
                  </w:pPr>
                  <w:r w:rsidRPr="00C91AAE">
                    <w:rPr>
                      <w:rFonts w:cstheme="minorHAnsi"/>
                      <w:b/>
                      <w:bCs/>
                      <w:szCs w:val="24"/>
                    </w:rPr>
                    <w:t>45</w:t>
                  </w:r>
                </w:p>
              </w:tc>
              <w:tc>
                <w:tcPr>
                  <w:tcW w:w="1178" w:type="dxa"/>
                  <w:tcBorders>
                    <w:top w:val="nil"/>
                    <w:left w:val="nil"/>
                    <w:bottom w:val="single" w:sz="4" w:space="0" w:color="auto"/>
                    <w:right w:val="single" w:sz="4" w:space="0" w:color="auto"/>
                  </w:tcBorders>
                  <w:shd w:val="clear" w:color="auto" w:fill="auto"/>
                  <w:noWrap/>
                  <w:vAlign w:val="bottom"/>
                  <w:hideMark/>
                </w:tcPr>
                <w:p w14:paraId="254E9BB9" w14:textId="77777777" w:rsidR="00C91AAE" w:rsidRPr="00C91AAE" w:rsidRDefault="00C91AAE" w:rsidP="00C91AAE">
                  <w:pPr>
                    <w:rPr>
                      <w:rFonts w:cstheme="minorHAnsi"/>
                      <w:b/>
                      <w:bCs/>
                      <w:szCs w:val="24"/>
                    </w:rPr>
                  </w:pPr>
                  <w:r w:rsidRPr="00C91AAE">
                    <w:rPr>
                      <w:rFonts w:cstheme="minorHAnsi"/>
                      <w:b/>
                      <w:bCs/>
                      <w:szCs w:val="24"/>
                    </w:rPr>
                    <w:t>10</w:t>
                  </w:r>
                </w:p>
              </w:tc>
              <w:tc>
                <w:tcPr>
                  <w:tcW w:w="1275" w:type="dxa"/>
                  <w:tcBorders>
                    <w:top w:val="nil"/>
                    <w:left w:val="nil"/>
                    <w:bottom w:val="single" w:sz="4" w:space="0" w:color="auto"/>
                    <w:right w:val="single" w:sz="4" w:space="0" w:color="auto"/>
                  </w:tcBorders>
                  <w:shd w:val="clear" w:color="auto" w:fill="auto"/>
                  <w:noWrap/>
                  <w:vAlign w:val="bottom"/>
                  <w:hideMark/>
                </w:tcPr>
                <w:p w14:paraId="53B8D588" w14:textId="77777777" w:rsidR="00C91AAE" w:rsidRPr="00C91AAE" w:rsidRDefault="00C91AAE" w:rsidP="00C91AAE">
                  <w:pPr>
                    <w:rPr>
                      <w:rFonts w:cstheme="minorHAnsi"/>
                      <w:b/>
                      <w:bCs/>
                      <w:szCs w:val="24"/>
                    </w:rPr>
                  </w:pPr>
                  <w:r w:rsidRPr="00C91AAE">
                    <w:rPr>
                      <w:rFonts w:cstheme="minorHAnsi"/>
                      <w:b/>
                      <w:bCs/>
                      <w:szCs w:val="24"/>
                    </w:rPr>
                    <w:t>82%</w:t>
                  </w:r>
                </w:p>
              </w:tc>
              <w:tc>
                <w:tcPr>
                  <w:tcW w:w="911" w:type="dxa"/>
                  <w:tcBorders>
                    <w:top w:val="nil"/>
                    <w:left w:val="nil"/>
                    <w:bottom w:val="single" w:sz="4" w:space="0" w:color="auto"/>
                    <w:right w:val="single" w:sz="4" w:space="0" w:color="auto"/>
                  </w:tcBorders>
                  <w:shd w:val="clear" w:color="auto" w:fill="auto"/>
                  <w:noWrap/>
                  <w:vAlign w:val="bottom"/>
                  <w:hideMark/>
                </w:tcPr>
                <w:p w14:paraId="74E4ADA0" w14:textId="77777777" w:rsidR="00C91AAE" w:rsidRPr="00C91AAE" w:rsidRDefault="00C91AAE" w:rsidP="00C91AAE">
                  <w:pPr>
                    <w:rPr>
                      <w:rFonts w:cstheme="minorHAnsi"/>
                      <w:b/>
                      <w:bCs/>
                      <w:szCs w:val="24"/>
                    </w:rPr>
                  </w:pPr>
                  <w:r w:rsidRPr="00C91AAE">
                    <w:rPr>
                      <w:rFonts w:cstheme="minorHAnsi"/>
                      <w:b/>
                      <w:bCs/>
                      <w:szCs w:val="24"/>
                    </w:rPr>
                    <w:t>18%</w:t>
                  </w:r>
                </w:p>
              </w:tc>
            </w:tr>
            <w:tr w:rsidR="00C91AAE" w:rsidRPr="00C91AAE" w14:paraId="38B2F54F" w14:textId="77777777" w:rsidTr="003352D5">
              <w:trPr>
                <w:trHeight w:val="553"/>
              </w:trPr>
              <w:tc>
                <w:tcPr>
                  <w:tcW w:w="4072" w:type="dxa"/>
                  <w:tcBorders>
                    <w:top w:val="nil"/>
                    <w:left w:val="single" w:sz="4" w:space="0" w:color="auto"/>
                    <w:bottom w:val="single" w:sz="4" w:space="0" w:color="auto"/>
                    <w:right w:val="single" w:sz="4" w:space="0" w:color="auto"/>
                  </w:tcBorders>
                  <w:shd w:val="clear" w:color="auto" w:fill="auto"/>
                  <w:noWrap/>
                  <w:vAlign w:val="bottom"/>
                  <w:hideMark/>
                </w:tcPr>
                <w:p w14:paraId="227EB420" w14:textId="77777777" w:rsidR="00C91AAE" w:rsidRPr="00C91AAE" w:rsidRDefault="00C91AAE" w:rsidP="00C91AAE">
                  <w:pPr>
                    <w:rPr>
                      <w:rFonts w:cstheme="minorHAnsi"/>
                      <w:b/>
                      <w:bCs/>
                      <w:szCs w:val="24"/>
                    </w:rPr>
                  </w:pPr>
                  <w:r w:rsidRPr="00C91AAE">
                    <w:rPr>
                      <w:rFonts w:cstheme="minorHAnsi"/>
                      <w:b/>
                      <w:bCs/>
                      <w:szCs w:val="24"/>
                    </w:rPr>
                    <w:t>Estates and Ancillary</w:t>
                  </w:r>
                </w:p>
              </w:tc>
              <w:tc>
                <w:tcPr>
                  <w:tcW w:w="1651" w:type="dxa"/>
                  <w:tcBorders>
                    <w:top w:val="nil"/>
                    <w:left w:val="nil"/>
                    <w:bottom w:val="single" w:sz="4" w:space="0" w:color="auto"/>
                    <w:right w:val="single" w:sz="4" w:space="0" w:color="auto"/>
                  </w:tcBorders>
                  <w:shd w:val="clear" w:color="auto" w:fill="auto"/>
                  <w:noWrap/>
                  <w:vAlign w:val="bottom"/>
                  <w:hideMark/>
                </w:tcPr>
                <w:p w14:paraId="71D0EF9C" w14:textId="77777777" w:rsidR="00C91AAE" w:rsidRPr="00C91AAE" w:rsidRDefault="00C91AAE" w:rsidP="00C91AAE">
                  <w:pPr>
                    <w:rPr>
                      <w:rFonts w:cstheme="minorHAnsi"/>
                      <w:b/>
                      <w:bCs/>
                      <w:szCs w:val="24"/>
                    </w:rPr>
                  </w:pPr>
                  <w:r w:rsidRPr="00C91AAE">
                    <w:rPr>
                      <w:rFonts w:cstheme="minorHAnsi"/>
                      <w:b/>
                      <w:bCs/>
                      <w:szCs w:val="24"/>
                    </w:rPr>
                    <w:t>1</w:t>
                  </w:r>
                </w:p>
              </w:tc>
              <w:tc>
                <w:tcPr>
                  <w:tcW w:w="1178" w:type="dxa"/>
                  <w:tcBorders>
                    <w:top w:val="nil"/>
                    <w:left w:val="nil"/>
                    <w:bottom w:val="single" w:sz="4" w:space="0" w:color="auto"/>
                    <w:right w:val="single" w:sz="4" w:space="0" w:color="auto"/>
                  </w:tcBorders>
                  <w:shd w:val="clear" w:color="auto" w:fill="auto"/>
                  <w:noWrap/>
                  <w:vAlign w:val="bottom"/>
                  <w:hideMark/>
                </w:tcPr>
                <w:p w14:paraId="77853884" w14:textId="77777777" w:rsidR="00C91AAE" w:rsidRPr="00C91AAE" w:rsidRDefault="00C91AAE" w:rsidP="00C91AAE">
                  <w:pPr>
                    <w:rPr>
                      <w:rFonts w:cstheme="minorHAnsi"/>
                      <w:b/>
                      <w:bCs/>
                      <w:szCs w:val="24"/>
                    </w:rPr>
                  </w:pPr>
                  <w:r w:rsidRPr="00C91AAE">
                    <w:rPr>
                      <w:rFonts w:cstheme="minorHAnsi"/>
                      <w:b/>
                      <w:bCs/>
                      <w:szCs w:val="24"/>
                    </w:rPr>
                    <w:t>32</w:t>
                  </w:r>
                </w:p>
              </w:tc>
              <w:tc>
                <w:tcPr>
                  <w:tcW w:w="1275" w:type="dxa"/>
                  <w:tcBorders>
                    <w:top w:val="nil"/>
                    <w:left w:val="nil"/>
                    <w:bottom w:val="single" w:sz="4" w:space="0" w:color="auto"/>
                    <w:right w:val="single" w:sz="4" w:space="0" w:color="auto"/>
                  </w:tcBorders>
                  <w:shd w:val="clear" w:color="auto" w:fill="auto"/>
                  <w:noWrap/>
                  <w:vAlign w:val="bottom"/>
                  <w:hideMark/>
                </w:tcPr>
                <w:p w14:paraId="4CD6221A" w14:textId="77777777" w:rsidR="00C91AAE" w:rsidRPr="00C91AAE" w:rsidRDefault="00C91AAE" w:rsidP="00C91AAE">
                  <w:pPr>
                    <w:rPr>
                      <w:rFonts w:cstheme="minorHAnsi"/>
                      <w:b/>
                      <w:bCs/>
                      <w:szCs w:val="24"/>
                    </w:rPr>
                  </w:pPr>
                  <w:r w:rsidRPr="00C91AAE">
                    <w:rPr>
                      <w:rFonts w:cstheme="minorHAnsi"/>
                      <w:b/>
                      <w:bCs/>
                      <w:szCs w:val="24"/>
                    </w:rPr>
                    <w:t>3%</w:t>
                  </w:r>
                </w:p>
              </w:tc>
              <w:tc>
                <w:tcPr>
                  <w:tcW w:w="911" w:type="dxa"/>
                  <w:tcBorders>
                    <w:top w:val="nil"/>
                    <w:left w:val="nil"/>
                    <w:bottom w:val="single" w:sz="4" w:space="0" w:color="auto"/>
                    <w:right w:val="single" w:sz="4" w:space="0" w:color="auto"/>
                  </w:tcBorders>
                  <w:shd w:val="clear" w:color="auto" w:fill="auto"/>
                  <w:noWrap/>
                  <w:vAlign w:val="bottom"/>
                  <w:hideMark/>
                </w:tcPr>
                <w:p w14:paraId="4DE72CEA" w14:textId="77777777" w:rsidR="00C91AAE" w:rsidRPr="00C91AAE" w:rsidRDefault="00C91AAE" w:rsidP="00C91AAE">
                  <w:pPr>
                    <w:rPr>
                      <w:rFonts w:cstheme="minorHAnsi"/>
                      <w:b/>
                      <w:bCs/>
                      <w:szCs w:val="24"/>
                    </w:rPr>
                  </w:pPr>
                  <w:r w:rsidRPr="00C91AAE">
                    <w:rPr>
                      <w:rFonts w:cstheme="minorHAnsi"/>
                      <w:b/>
                      <w:bCs/>
                      <w:szCs w:val="24"/>
                    </w:rPr>
                    <w:t>97%</w:t>
                  </w:r>
                </w:p>
              </w:tc>
            </w:tr>
            <w:tr w:rsidR="00C91AAE" w:rsidRPr="00C91AAE" w14:paraId="363DC140" w14:textId="77777777" w:rsidTr="003352D5">
              <w:trPr>
                <w:trHeight w:val="553"/>
              </w:trPr>
              <w:tc>
                <w:tcPr>
                  <w:tcW w:w="4072" w:type="dxa"/>
                  <w:tcBorders>
                    <w:top w:val="nil"/>
                    <w:left w:val="single" w:sz="4" w:space="0" w:color="auto"/>
                    <w:bottom w:val="single" w:sz="4" w:space="0" w:color="auto"/>
                    <w:right w:val="single" w:sz="4" w:space="0" w:color="auto"/>
                  </w:tcBorders>
                  <w:shd w:val="clear" w:color="auto" w:fill="auto"/>
                  <w:noWrap/>
                  <w:vAlign w:val="bottom"/>
                  <w:hideMark/>
                </w:tcPr>
                <w:p w14:paraId="4479AB8B" w14:textId="77777777" w:rsidR="00C91AAE" w:rsidRPr="00C91AAE" w:rsidRDefault="00C91AAE" w:rsidP="00C91AAE">
                  <w:pPr>
                    <w:rPr>
                      <w:rFonts w:cstheme="minorHAnsi"/>
                      <w:b/>
                      <w:bCs/>
                      <w:szCs w:val="24"/>
                    </w:rPr>
                  </w:pPr>
                  <w:r w:rsidRPr="00C91AAE">
                    <w:rPr>
                      <w:rFonts w:cstheme="minorHAnsi"/>
                      <w:b/>
                      <w:bCs/>
                      <w:szCs w:val="24"/>
                    </w:rPr>
                    <w:t>Healthcare Scientists</w:t>
                  </w:r>
                </w:p>
              </w:tc>
              <w:tc>
                <w:tcPr>
                  <w:tcW w:w="1651" w:type="dxa"/>
                  <w:tcBorders>
                    <w:top w:val="nil"/>
                    <w:left w:val="nil"/>
                    <w:bottom w:val="single" w:sz="4" w:space="0" w:color="auto"/>
                    <w:right w:val="single" w:sz="4" w:space="0" w:color="auto"/>
                  </w:tcBorders>
                  <w:shd w:val="clear" w:color="auto" w:fill="auto"/>
                  <w:noWrap/>
                  <w:vAlign w:val="bottom"/>
                  <w:hideMark/>
                </w:tcPr>
                <w:p w14:paraId="0AB6D728" w14:textId="77777777" w:rsidR="00C91AAE" w:rsidRPr="00C91AAE" w:rsidRDefault="00C91AAE" w:rsidP="00C91AAE">
                  <w:pPr>
                    <w:rPr>
                      <w:rFonts w:cstheme="minorHAnsi"/>
                      <w:b/>
                      <w:bCs/>
                      <w:szCs w:val="24"/>
                    </w:rPr>
                  </w:pPr>
                  <w:r w:rsidRPr="00C91AAE">
                    <w:rPr>
                      <w:rFonts w:cstheme="minorHAnsi"/>
                      <w:b/>
                      <w:bCs/>
                      <w:szCs w:val="24"/>
                    </w:rPr>
                    <w:t>39</w:t>
                  </w:r>
                </w:p>
              </w:tc>
              <w:tc>
                <w:tcPr>
                  <w:tcW w:w="1178" w:type="dxa"/>
                  <w:tcBorders>
                    <w:top w:val="nil"/>
                    <w:left w:val="nil"/>
                    <w:bottom w:val="single" w:sz="4" w:space="0" w:color="auto"/>
                    <w:right w:val="single" w:sz="4" w:space="0" w:color="auto"/>
                  </w:tcBorders>
                  <w:shd w:val="clear" w:color="auto" w:fill="auto"/>
                  <w:noWrap/>
                  <w:vAlign w:val="bottom"/>
                  <w:hideMark/>
                </w:tcPr>
                <w:p w14:paraId="2368BCF9" w14:textId="77777777" w:rsidR="00C91AAE" w:rsidRPr="00C91AAE" w:rsidRDefault="00C91AAE" w:rsidP="00C91AAE">
                  <w:pPr>
                    <w:rPr>
                      <w:rFonts w:cstheme="minorHAnsi"/>
                      <w:b/>
                      <w:bCs/>
                      <w:szCs w:val="24"/>
                    </w:rPr>
                  </w:pPr>
                  <w:r w:rsidRPr="00C91AAE">
                    <w:rPr>
                      <w:rFonts w:cstheme="minorHAnsi"/>
                      <w:b/>
                      <w:bCs/>
                      <w:szCs w:val="24"/>
                    </w:rPr>
                    <w:t>29</w:t>
                  </w:r>
                </w:p>
              </w:tc>
              <w:tc>
                <w:tcPr>
                  <w:tcW w:w="1275" w:type="dxa"/>
                  <w:tcBorders>
                    <w:top w:val="nil"/>
                    <w:left w:val="nil"/>
                    <w:bottom w:val="single" w:sz="4" w:space="0" w:color="auto"/>
                    <w:right w:val="single" w:sz="4" w:space="0" w:color="auto"/>
                  </w:tcBorders>
                  <w:shd w:val="clear" w:color="auto" w:fill="auto"/>
                  <w:noWrap/>
                  <w:vAlign w:val="bottom"/>
                  <w:hideMark/>
                </w:tcPr>
                <w:p w14:paraId="04267314" w14:textId="77777777" w:rsidR="00C91AAE" w:rsidRPr="00C91AAE" w:rsidRDefault="00C91AAE" w:rsidP="00C91AAE">
                  <w:pPr>
                    <w:rPr>
                      <w:rFonts w:cstheme="minorHAnsi"/>
                      <w:b/>
                      <w:bCs/>
                      <w:szCs w:val="24"/>
                    </w:rPr>
                  </w:pPr>
                  <w:r w:rsidRPr="00C91AAE">
                    <w:rPr>
                      <w:rFonts w:cstheme="minorHAnsi"/>
                      <w:b/>
                      <w:bCs/>
                      <w:szCs w:val="24"/>
                    </w:rPr>
                    <w:t>57%</w:t>
                  </w:r>
                </w:p>
              </w:tc>
              <w:tc>
                <w:tcPr>
                  <w:tcW w:w="911" w:type="dxa"/>
                  <w:tcBorders>
                    <w:top w:val="nil"/>
                    <w:left w:val="nil"/>
                    <w:bottom w:val="single" w:sz="4" w:space="0" w:color="auto"/>
                    <w:right w:val="single" w:sz="4" w:space="0" w:color="auto"/>
                  </w:tcBorders>
                  <w:shd w:val="clear" w:color="auto" w:fill="auto"/>
                  <w:noWrap/>
                  <w:vAlign w:val="bottom"/>
                  <w:hideMark/>
                </w:tcPr>
                <w:p w14:paraId="521978D7" w14:textId="77777777" w:rsidR="00C91AAE" w:rsidRPr="00C91AAE" w:rsidRDefault="00C91AAE" w:rsidP="00C91AAE">
                  <w:pPr>
                    <w:rPr>
                      <w:rFonts w:cstheme="minorHAnsi"/>
                      <w:b/>
                      <w:bCs/>
                      <w:szCs w:val="24"/>
                    </w:rPr>
                  </w:pPr>
                  <w:r w:rsidRPr="00C91AAE">
                    <w:rPr>
                      <w:rFonts w:cstheme="minorHAnsi"/>
                      <w:b/>
                      <w:bCs/>
                      <w:szCs w:val="24"/>
                    </w:rPr>
                    <w:t>43%</w:t>
                  </w:r>
                </w:p>
              </w:tc>
            </w:tr>
            <w:tr w:rsidR="00C91AAE" w:rsidRPr="00C91AAE" w14:paraId="2925FAAD" w14:textId="77777777" w:rsidTr="003352D5">
              <w:trPr>
                <w:trHeight w:val="553"/>
              </w:trPr>
              <w:tc>
                <w:tcPr>
                  <w:tcW w:w="4072" w:type="dxa"/>
                  <w:tcBorders>
                    <w:top w:val="nil"/>
                    <w:left w:val="single" w:sz="4" w:space="0" w:color="auto"/>
                    <w:bottom w:val="single" w:sz="4" w:space="0" w:color="auto"/>
                    <w:right w:val="single" w:sz="4" w:space="0" w:color="auto"/>
                  </w:tcBorders>
                  <w:shd w:val="clear" w:color="auto" w:fill="auto"/>
                  <w:noWrap/>
                  <w:vAlign w:val="bottom"/>
                  <w:hideMark/>
                </w:tcPr>
                <w:p w14:paraId="7A2B725D" w14:textId="77777777" w:rsidR="00C91AAE" w:rsidRPr="00C91AAE" w:rsidRDefault="00C91AAE" w:rsidP="00C91AAE">
                  <w:pPr>
                    <w:rPr>
                      <w:rFonts w:cstheme="minorHAnsi"/>
                      <w:b/>
                      <w:bCs/>
                      <w:szCs w:val="24"/>
                    </w:rPr>
                  </w:pPr>
                  <w:r w:rsidRPr="00C91AAE">
                    <w:rPr>
                      <w:rFonts w:cstheme="minorHAnsi"/>
                      <w:b/>
                      <w:bCs/>
                      <w:szCs w:val="24"/>
                    </w:rPr>
                    <w:t>Medical and Dental</w:t>
                  </w:r>
                </w:p>
              </w:tc>
              <w:tc>
                <w:tcPr>
                  <w:tcW w:w="1651" w:type="dxa"/>
                  <w:tcBorders>
                    <w:top w:val="nil"/>
                    <w:left w:val="nil"/>
                    <w:bottom w:val="single" w:sz="4" w:space="0" w:color="auto"/>
                    <w:right w:val="single" w:sz="4" w:space="0" w:color="auto"/>
                  </w:tcBorders>
                  <w:shd w:val="clear" w:color="auto" w:fill="auto"/>
                  <w:noWrap/>
                  <w:vAlign w:val="bottom"/>
                  <w:hideMark/>
                </w:tcPr>
                <w:p w14:paraId="6FCF49E0" w14:textId="77777777" w:rsidR="00C91AAE" w:rsidRPr="00C91AAE" w:rsidRDefault="00C91AAE" w:rsidP="00C91AAE">
                  <w:pPr>
                    <w:rPr>
                      <w:rFonts w:cstheme="minorHAnsi"/>
                      <w:b/>
                      <w:bCs/>
                      <w:szCs w:val="24"/>
                    </w:rPr>
                  </w:pPr>
                  <w:r w:rsidRPr="00C91AAE">
                    <w:rPr>
                      <w:rFonts w:cstheme="minorHAnsi"/>
                      <w:b/>
                      <w:bCs/>
                      <w:szCs w:val="24"/>
                    </w:rPr>
                    <w:t>184</w:t>
                  </w:r>
                </w:p>
              </w:tc>
              <w:tc>
                <w:tcPr>
                  <w:tcW w:w="1178" w:type="dxa"/>
                  <w:tcBorders>
                    <w:top w:val="nil"/>
                    <w:left w:val="nil"/>
                    <w:bottom w:val="single" w:sz="4" w:space="0" w:color="auto"/>
                    <w:right w:val="single" w:sz="4" w:space="0" w:color="auto"/>
                  </w:tcBorders>
                  <w:shd w:val="clear" w:color="auto" w:fill="auto"/>
                  <w:noWrap/>
                  <w:vAlign w:val="bottom"/>
                  <w:hideMark/>
                </w:tcPr>
                <w:p w14:paraId="7E520C62" w14:textId="77777777" w:rsidR="00C91AAE" w:rsidRPr="00C91AAE" w:rsidRDefault="00C91AAE" w:rsidP="00C91AAE">
                  <w:pPr>
                    <w:rPr>
                      <w:rFonts w:cstheme="minorHAnsi"/>
                      <w:b/>
                      <w:bCs/>
                      <w:szCs w:val="24"/>
                    </w:rPr>
                  </w:pPr>
                  <w:r w:rsidRPr="00C91AAE">
                    <w:rPr>
                      <w:rFonts w:cstheme="minorHAnsi"/>
                      <w:b/>
                      <w:bCs/>
                      <w:szCs w:val="24"/>
                    </w:rPr>
                    <w:t>200</w:t>
                  </w:r>
                </w:p>
              </w:tc>
              <w:tc>
                <w:tcPr>
                  <w:tcW w:w="1275" w:type="dxa"/>
                  <w:tcBorders>
                    <w:top w:val="nil"/>
                    <w:left w:val="nil"/>
                    <w:bottom w:val="single" w:sz="4" w:space="0" w:color="auto"/>
                    <w:right w:val="single" w:sz="4" w:space="0" w:color="auto"/>
                  </w:tcBorders>
                  <w:shd w:val="clear" w:color="auto" w:fill="auto"/>
                  <w:noWrap/>
                  <w:vAlign w:val="bottom"/>
                  <w:hideMark/>
                </w:tcPr>
                <w:p w14:paraId="2CB20F1A" w14:textId="77777777" w:rsidR="00C91AAE" w:rsidRPr="00C91AAE" w:rsidRDefault="00C91AAE" w:rsidP="00C91AAE">
                  <w:pPr>
                    <w:rPr>
                      <w:rFonts w:cstheme="minorHAnsi"/>
                      <w:b/>
                      <w:bCs/>
                      <w:szCs w:val="24"/>
                    </w:rPr>
                  </w:pPr>
                  <w:r w:rsidRPr="00C91AAE">
                    <w:rPr>
                      <w:rFonts w:cstheme="minorHAnsi"/>
                      <w:b/>
                      <w:bCs/>
                      <w:szCs w:val="24"/>
                    </w:rPr>
                    <w:t>48%</w:t>
                  </w:r>
                </w:p>
              </w:tc>
              <w:tc>
                <w:tcPr>
                  <w:tcW w:w="911" w:type="dxa"/>
                  <w:tcBorders>
                    <w:top w:val="nil"/>
                    <w:left w:val="nil"/>
                    <w:bottom w:val="single" w:sz="4" w:space="0" w:color="auto"/>
                    <w:right w:val="single" w:sz="4" w:space="0" w:color="auto"/>
                  </w:tcBorders>
                  <w:shd w:val="clear" w:color="auto" w:fill="auto"/>
                  <w:noWrap/>
                  <w:vAlign w:val="bottom"/>
                  <w:hideMark/>
                </w:tcPr>
                <w:p w14:paraId="45FA29E4" w14:textId="77777777" w:rsidR="00C91AAE" w:rsidRPr="00C91AAE" w:rsidRDefault="00C91AAE" w:rsidP="00C91AAE">
                  <w:pPr>
                    <w:rPr>
                      <w:rFonts w:cstheme="minorHAnsi"/>
                      <w:b/>
                      <w:bCs/>
                      <w:szCs w:val="24"/>
                    </w:rPr>
                  </w:pPr>
                  <w:r w:rsidRPr="00C91AAE">
                    <w:rPr>
                      <w:rFonts w:cstheme="minorHAnsi"/>
                      <w:b/>
                      <w:bCs/>
                      <w:szCs w:val="24"/>
                    </w:rPr>
                    <w:t>52%</w:t>
                  </w:r>
                </w:p>
              </w:tc>
            </w:tr>
            <w:tr w:rsidR="00C91AAE" w:rsidRPr="00C91AAE" w14:paraId="4B9F2D15" w14:textId="77777777" w:rsidTr="003352D5">
              <w:trPr>
                <w:trHeight w:val="553"/>
              </w:trPr>
              <w:tc>
                <w:tcPr>
                  <w:tcW w:w="4072" w:type="dxa"/>
                  <w:tcBorders>
                    <w:top w:val="nil"/>
                    <w:left w:val="single" w:sz="4" w:space="0" w:color="auto"/>
                    <w:bottom w:val="single" w:sz="4" w:space="0" w:color="auto"/>
                    <w:right w:val="single" w:sz="4" w:space="0" w:color="auto"/>
                  </w:tcBorders>
                  <w:shd w:val="clear" w:color="auto" w:fill="auto"/>
                  <w:noWrap/>
                  <w:vAlign w:val="bottom"/>
                  <w:hideMark/>
                </w:tcPr>
                <w:p w14:paraId="310E9970" w14:textId="77777777" w:rsidR="00C91AAE" w:rsidRPr="00C91AAE" w:rsidRDefault="00C91AAE" w:rsidP="00C91AAE">
                  <w:pPr>
                    <w:rPr>
                      <w:rFonts w:cstheme="minorHAnsi"/>
                      <w:b/>
                      <w:bCs/>
                      <w:szCs w:val="24"/>
                    </w:rPr>
                  </w:pPr>
                  <w:r w:rsidRPr="00C91AAE">
                    <w:rPr>
                      <w:rFonts w:cstheme="minorHAnsi"/>
                      <w:b/>
                      <w:bCs/>
                      <w:szCs w:val="24"/>
                    </w:rPr>
                    <w:t>Nursing and Midwifery Registered</w:t>
                  </w:r>
                </w:p>
              </w:tc>
              <w:tc>
                <w:tcPr>
                  <w:tcW w:w="1651" w:type="dxa"/>
                  <w:tcBorders>
                    <w:top w:val="nil"/>
                    <w:left w:val="nil"/>
                    <w:bottom w:val="single" w:sz="4" w:space="0" w:color="auto"/>
                    <w:right w:val="single" w:sz="4" w:space="0" w:color="auto"/>
                  </w:tcBorders>
                  <w:shd w:val="clear" w:color="auto" w:fill="auto"/>
                  <w:noWrap/>
                  <w:vAlign w:val="bottom"/>
                  <w:hideMark/>
                </w:tcPr>
                <w:p w14:paraId="18212852" w14:textId="77777777" w:rsidR="00C91AAE" w:rsidRPr="00C91AAE" w:rsidRDefault="00C91AAE" w:rsidP="00C91AAE">
                  <w:pPr>
                    <w:rPr>
                      <w:rFonts w:cstheme="minorHAnsi"/>
                      <w:b/>
                      <w:bCs/>
                      <w:szCs w:val="24"/>
                    </w:rPr>
                  </w:pPr>
                  <w:r w:rsidRPr="00C91AAE">
                    <w:rPr>
                      <w:rFonts w:cstheme="minorHAnsi"/>
                      <w:b/>
                      <w:bCs/>
                      <w:szCs w:val="24"/>
                    </w:rPr>
                    <w:t>408</w:t>
                  </w:r>
                </w:p>
              </w:tc>
              <w:tc>
                <w:tcPr>
                  <w:tcW w:w="1178" w:type="dxa"/>
                  <w:tcBorders>
                    <w:top w:val="nil"/>
                    <w:left w:val="nil"/>
                    <w:bottom w:val="single" w:sz="4" w:space="0" w:color="auto"/>
                    <w:right w:val="single" w:sz="4" w:space="0" w:color="auto"/>
                  </w:tcBorders>
                  <w:shd w:val="clear" w:color="auto" w:fill="auto"/>
                  <w:noWrap/>
                  <w:vAlign w:val="bottom"/>
                  <w:hideMark/>
                </w:tcPr>
                <w:p w14:paraId="4B1481F8" w14:textId="77777777" w:rsidR="00C91AAE" w:rsidRPr="00C91AAE" w:rsidRDefault="00C91AAE" w:rsidP="00C91AAE">
                  <w:pPr>
                    <w:rPr>
                      <w:rFonts w:cstheme="minorHAnsi"/>
                      <w:b/>
                      <w:bCs/>
                      <w:szCs w:val="24"/>
                    </w:rPr>
                  </w:pPr>
                  <w:r w:rsidRPr="00C91AAE">
                    <w:rPr>
                      <w:rFonts w:cstheme="minorHAnsi"/>
                      <w:b/>
                      <w:bCs/>
                      <w:szCs w:val="24"/>
                    </w:rPr>
                    <w:t>83</w:t>
                  </w:r>
                </w:p>
              </w:tc>
              <w:tc>
                <w:tcPr>
                  <w:tcW w:w="1275" w:type="dxa"/>
                  <w:tcBorders>
                    <w:top w:val="nil"/>
                    <w:left w:val="nil"/>
                    <w:bottom w:val="single" w:sz="4" w:space="0" w:color="auto"/>
                    <w:right w:val="single" w:sz="4" w:space="0" w:color="auto"/>
                  </w:tcBorders>
                  <w:shd w:val="clear" w:color="auto" w:fill="auto"/>
                  <w:noWrap/>
                  <w:vAlign w:val="bottom"/>
                  <w:hideMark/>
                </w:tcPr>
                <w:p w14:paraId="6CCAD910" w14:textId="77777777" w:rsidR="00C91AAE" w:rsidRPr="00C91AAE" w:rsidRDefault="00C91AAE" w:rsidP="00C91AAE">
                  <w:pPr>
                    <w:rPr>
                      <w:rFonts w:cstheme="minorHAnsi"/>
                      <w:b/>
                      <w:bCs/>
                      <w:szCs w:val="24"/>
                    </w:rPr>
                  </w:pPr>
                  <w:r w:rsidRPr="00C91AAE">
                    <w:rPr>
                      <w:rFonts w:cstheme="minorHAnsi"/>
                      <w:b/>
                      <w:bCs/>
                      <w:szCs w:val="24"/>
                    </w:rPr>
                    <w:t>83%</w:t>
                  </w:r>
                </w:p>
              </w:tc>
              <w:tc>
                <w:tcPr>
                  <w:tcW w:w="911" w:type="dxa"/>
                  <w:tcBorders>
                    <w:top w:val="nil"/>
                    <w:left w:val="nil"/>
                    <w:bottom w:val="single" w:sz="4" w:space="0" w:color="auto"/>
                    <w:right w:val="single" w:sz="4" w:space="0" w:color="auto"/>
                  </w:tcBorders>
                  <w:shd w:val="clear" w:color="auto" w:fill="auto"/>
                  <w:noWrap/>
                  <w:vAlign w:val="bottom"/>
                  <w:hideMark/>
                </w:tcPr>
                <w:p w14:paraId="3CF63013" w14:textId="77777777" w:rsidR="00C91AAE" w:rsidRPr="00C91AAE" w:rsidRDefault="00C91AAE" w:rsidP="00C91AAE">
                  <w:pPr>
                    <w:rPr>
                      <w:rFonts w:cstheme="minorHAnsi"/>
                      <w:b/>
                      <w:bCs/>
                      <w:szCs w:val="24"/>
                    </w:rPr>
                  </w:pPr>
                  <w:r w:rsidRPr="00C91AAE">
                    <w:rPr>
                      <w:rFonts w:cstheme="minorHAnsi"/>
                      <w:b/>
                      <w:bCs/>
                      <w:szCs w:val="24"/>
                    </w:rPr>
                    <w:t>17%</w:t>
                  </w:r>
                </w:p>
              </w:tc>
            </w:tr>
            <w:tr w:rsidR="00C91AAE" w:rsidRPr="00C91AAE" w14:paraId="28804210" w14:textId="77777777" w:rsidTr="003352D5">
              <w:trPr>
                <w:trHeight w:val="553"/>
              </w:trPr>
              <w:tc>
                <w:tcPr>
                  <w:tcW w:w="4072" w:type="dxa"/>
                  <w:tcBorders>
                    <w:top w:val="nil"/>
                    <w:left w:val="single" w:sz="4" w:space="0" w:color="auto"/>
                    <w:bottom w:val="single" w:sz="4" w:space="0" w:color="auto"/>
                    <w:right w:val="single" w:sz="4" w:space="0" w:color="auto"/>
                  </w:tcBorders>
                  <w:shd w:val="clear" w:color="auto" w:fill="auto"/>
                  <w:noWrap/>
                  <w:vAlign w:val="bottom"/>
                  <w:hideMark/>
                </w:tcPr>
                <w:p w14:paraId="349152D9" w14:textId="77777777" w:rsidR="00C91AAE" w:rsidRPr="00C91AAE" w:rsidRDefault="00C91AAE" w:rsidP="00C91AAE">
                  <w:pPr>
                    <w:rPr>
                      <w:rFonts w:cstheme="minorHAnsi"/>
                      <w:b/>
                      <w:bCs/>
                      <w:szCs w:val="24"/>
                    </w:rPr>
                  </w:pPr>
                  <w:r w:rsidRPr="00C91AAE">
                    <w:rPr>
                      <w:rFonts w:cstheme="minorHAnsi"/>
                      <w:b/>
                      <w:bCs/>
                      <w:szCs w:val="24"/>
                    </w:rPr>
                    <w:t>Students</w:t>
                  </w:r>
                </w:p>
              </w:tc>
              <w:tc>
                <w:tcPr>
                  <w:tcW w:w="1651" w:type="dxa"/>
                  <w:tcBorders>
                    <w:top w:val="nil"/>
                    <w:left w:val="nil"/>
                    <w:bottom w:val="single" w:sz="4" w:space="0" w:color="auto"/>
                    <w:right w:val="single" w:sz="4" w:space="0" w:color="auto"/>
                  </w:tcBorders>
                  <w:shd w:val="clear" w:color="auto" w:fill="auto"/>
                  <w:noWrap/>
                  <w:vAlign w:val="bottom"/>
                  <w:hideMark/>
                </w:tcPr>
                <w:p w14:paraId="46242EF7" w14:textId="77777777" w:rsidR="00C91AAE" w:rsidRPr="00C91AAE" w:rsidRDefault="00C91AAE" w:rsidP="00C91AAE">
                  <w:pPr>
                    <w:rPr>
                      <w:rFonts w:cstheme="minorHAnsi"/>
                      <w:b/>
                      <w:bCs/>
                      <w:szCs w:val="24"/>
                    </w:rPr>
                  </w:pPr>
                  <w:r w:rsidRPr="00C91AAE">
                    <w:rPr>
                      <w:rFonts w:cstheme="minorHAnsi"/>
                      <w:b/>
                      <w:bCs/>
                      <w:szCs w:val="24"/>
                    </w:rPr>
                    <w:t>4</w:t>
                  </w:r>
                </w:p>
              </w:tc>
              <w:tc>
                <w:tcPr>
                  <w:tcW w:w="1178" w:type="dxa"/>
                  <w:tcBorders>
                    <w:top w:val="nil"/>
                    <w:left w:val="nil"/>
                    <w:bottom w:val="single" w:sz="4" w:space="0" w:color="auto"/>
                    <w:right w:val="single" w:sz="4" w:space="0" w:color="auto"/>
                  </w:tcBorders>
                  <w:shd w:val="clear" w:color="auto" w:fill="auto"/>
                  <w:noWrap/>
                  <w:vAlign w:val="bottom"/>
                  <w:hideMark/>
                </w:tcPr>
                <w:p w14:paraId="752A954A" w14:textId="77777777" w:rsidR="00C91AAE" w:rsidRPr="00C91AAE" w:rsidRDefault="00C91AAE" w:rsidP="00C91AAE">
                  <w:pPr>
                    <w:rPr>
                      <w:rFonts w:cstheme="minorHAnsi"/>
                      <w:b/>
                      <w:bCs/>
                      <w:szCs w:val="24"/>
                    </w:rPr>
                  </w:pPr>
                  <w:r w:rsidRPr="00C91AAE">
                    <w:rPr>
                      <w:rFonts w:cstheme="minorHAnsi"/>
                      <w:b/>
                      <w:bCs/>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7DAE36BC" w14:textId="77777777" w:rsidR="00C91AAE" w:rsidRPr="00C91AAE" w:rsidRDefault="00C91AAE" w:rsidP="00C91AAE">
                  <w:pPr>
                    <w:rPr>
                      <w:rFonts w:cstheme="minorHAnsi"/>
                      <w:b/>
                      <w:bCs/>
                      <w:szCs w:val="24"/>
                    </w:rPr>
                  </w:pPr>
                  <w:r w:rsidRPr="00C91AAE">
                    <w:rPr>
                      <w:rFonts w:cstheme="minorHAnsi"/>
                      <w:b/>
                      <w:bCs/>
                      <w:szCs w:val="24"/>
                    </w:rPr>
                    <w:t>100%</w:t>
                  </w:r>
                </w:p>
              </w:tc>
              <w:tc>
                <w:tcPr>
                  <w:tcW w:w="911" w:type="dxa"/>
                  <w:tcBorders>
                    <w:top w:val="nil"/>
                    <w:left w:val="nil"/>
                    <w:bottom w:val="single" w:sz="4" w:space="0" w:color="auto"/>
                    <w:right w:val="single" w:sz="4" w:space="0" w:color="auto"/>
                  </w:tcBorders>
                  <w:shd w:val="clear" w:color="auto" w:fill="auto"/>
                  <w:noWrap/>
                  <w:vAlign w:val="bottom"/>
                  <w:hideMark/>
                </w:tcPr>
                <w:p w14:paraId="1F76B812" w14:textId="77777777" w:rsidR="00C91AAE" w:rsidRPr="00C91AAE" w:rsidRDefault="00C91AAE" w:rsidP="00C91AAE">
                  <w:pPr>
                    <w:rPr>
                      <w:rFonts w:cstheme="minorHAnsi"/>
                      <w:b/>
                      <w:bCs/>
                      <w:szCs w:val="24"/>
                    </w:rPr>
                  </w:pPr>
                  <w:r w:rsidRPr="00C91AAE">
                    <w:rPr>
                      <w:rFonts w:cstheme="minorHAnsi"/>
                      <w:b/>
                      <w:bCs/>
                      <w:szCs w:val="24"/>
                    </w:rPr>
                    <w:t>0%</w:t>
                  </w:r>
                </w:p>
              </w:tc>
            </w:tr>
            <w:tr w:rsidR="00C91AAE" w:rsidRPr="00C91AAE" w14:paraId="0DBDB2C3" w14:textId="77777777" w:rsidTr="003352D5">
              <w:trPr>
                <w:trHeight w:val="553"/>
              </w:trPr>
              <w:tc>
                <w:tcPr>
                  <w:tcW w:w="4072" w:type="dxa"/>
                  <w:tcBorders>
                    <w:top w:val="nil"/>
                    <w:left w:val="single" w:sz="4" w:space="0" w:color="auto"/>
                    <w:bottom w:val="single" w:sz="4" w:space="0" w:color="auto"/>
                    <w:right w:val="single" w:sz="4" w:space="0" w:color="auto"/>
                  </w:tcBorders>
                  <w:shd w:val="clear" w:color="000000" w:fill="8EA9DB"/>
                  <w:noWrap/>
                  <w:vAlign w:val="bottom"/>
                  <w:hideMark/>
                </w:tcPr>
                <w:p w14:paraId="5B732A24" w14:textId="77777777" w:rsidR="00C91AAE" w:rsidRPr="00C91AAE" w:rsidRDefault="00C91AAE" w:rsidP="00C91AAE">
                  <w:pPr>
                    <w:rPr>
                      <w:rFonts w:cstheme="minorHAnsi"/>
                      <w:b/>
                      <w:bCs/>
                      <w:szCs w:val="24"/>
                    </w:rPr>
                  </w:pPr>
                  <w:r w:rsidRPr="00C91AAE">
                    <w:rPr>
                      <w:rFonts w:cstheme="minorHAnsi"/>
                      <w:b/>
                      <w:bCs/>
                      <w:szCs w:val="24"/>
                    </w:rPr>
                    <w:t>Grand Total</w:t>
                  </w:r>
                </w:p>
              </w:tc>
              <w:tc>
                <w:tcPr>
                  <w:tcW w:w="1651" w:type="dxa"/>
                  <w:tcBorders>
                    <w:top w:val="nil"/>
                    <w:left w:val="nil"/>
                    <w:bottom w:val="single" w:sz="4" w:space="0" w:color="auto"/>
                    <w:right w:val="single" w:sz="4" w:space="0" w:color="auto"/>
                  </w:tcBorders>
                  <w:shd w:val="clear" w:color="000000" w:fill="8EA9DB"/>
                  <w:noWrap/>
                  <w:vAlign w:val="bottom"/>
                  <w:hideMark/>
                </w:tcPr>
                <w:p w14:paraId="6C24881C" w14:textId="77777777" w:rsidR="00C91AAE" w:rsidRPr="00C91AAE" w:rsidRDefault="00C91AAE" w:rsidP="00C91AAE">
                  <w:pPr>
                    <w:rPr>
                      <w:rFonts w:cstheme="minorHAnsi"/>
                      <w:b/>
                      <w:bCs/>
                      <w:szCs w:val="24"/>
                    </w:rPr>
                  </w:pPr>
                  <w:r w:rsidRPr="00C91AAE">
                    <w:rPr>
                      <w:rFonts w:cstheme="minorHAnsi"/>
                      <w:b/>
                      <w:bCs/>
                      <w:szCs w:val="24"/>
                    </w:rPr>
                    <w:t>1757</w:t>
                  </w:r>
                </w:p>
              </w:tc>
              <w:tc>
                <w:tcPr>
                  <w:tcW w:w="1178" w:type="dxa"/>
                  <w:tcBorders>
                    <w:top w:val="nil"/>
                    <w:left w:val="nil"/>
                    <w:bottom w:val="single" w:sz="4" w:space="0" w:color="auto"/>
                    <w:right w:val="single" w:sz="4" w:space="0" w:color="auto"/>
                  </w:tcBorders>
                  <w:shd w:val="clear" w:color="000000" w:fill="8EA9DB"/>
                  <w:noWrap/>
                  <w:vAlign w:val="bottom"/>
                  <w:hideMark/>
                </w:tcPr>
                <w:p w14:paraId="50867CA1" w14:textId="77777777" w:rsidR="00C91AAE" w:rsidRPr="00C91AAE" w:rsidRDefault="00C91AAE" w:rsidP="00C91AAE">
                  <w:pPr>
                    <w:rPr>
                      <w:rFonts w:cstheme="minorHAnsi"/>
                      <w:b/>
                      <w:bCs/>
                      <w:szCs w:val="24"/>
                    </w:rPr>
                  </w:pPr>
                  <w:r w:rsidRPr="00C91AAE">
                    <w:rPr>
                      <w:rFonts w:cstheme="minorHAnsi"/>
                      <w:b/>
                      <w:bCs/>
                      <w:szCs w:val="24"/>
                    </w:rPr>
                    <w:t>810</w:t>
                  </w:r>
                </w:p>
              </w:tc>
              <w:tc>
                <w:tcPr>
                  <w:tcW w:w="1275" w:type="dxa"/>
                  <w:tcBorders>
                    <w:top w:val="nil"/>
                    <w:left w:val="nil"/>
                    <w:bottom w:val="single" w:sz="4" w:space="0" w:color="auto"/>
                    <w:right w:val="single" w:sz="4" w:space="0" w:color="auto"/>
                  </w:tcBorders>
                  <w:shd w:val="clear" w:color="000000" w:fill="8EA9DB"/>
                  <w:noWrap/>
                  <w:vAlign w:val="bottom"/>
                  <w:hideMark/>
                </w:tcPr>
                <w:p w14:paraId="5267FA0A" w14:textId="77777777" w:rsidR="00C91AAE" w:rsidRPr="00C91AAE" w:rsidRDefault="00C91AAE" w:rsidP="00C91AAE">
                  <w:pPr>
                    <w:rPr>
                      <w:rFonts w:cstheme="minorHAnsi"/>
                      <w:b/>
                      <w:bCs/>
                      <w:szCs w:val="24"/>
                    </w:rPr>
                  </w:pPr>
                  <w:r w:rsidRPr="00C91AAE">
                    <w:rPr>
                      <w:rFonts w:cstheme="minorHAnsi"/>
                      <w:b/>
                      <w:bCs/>
                      <w:szCs w:val="24"/>
                    </w:rPr>
                    <w:t>68%</w:t>
                  </w:r>
                </w:p>
              </w:tc>
              <w:tc>
                <w:tcPr>
                  <w:tcW w:w="911" w:type="dxa"/>
                  <w:tcBorders>
                    <w:top w:val="nil"/>
                    <w:left w:val="nil"/>
                    <w:bottom w:val="single" w:sz="4" w:space="0" w:color="auto"/>
                    <w:right w:val="single" w:sz="4" w:space="0" w:color="auto"/>
                  </w:tcBorders>
                  <w:shd w:val="clear" w:color="000000" w:fill="8EA9DB"/>
                  <w:noWrap/>
                  <w:vAlign w:val="bottom"/>
                  <w:hideMark/>
                </w:tcPr>
                <w:p w14:paraId="79F02B65" w14:textId="77777777" w:rsidR="00C91AAE" w:rsidRPr="00C91AAE" w:rsidRDefault="00C91AAE" w:rsidP="00C91AAE">
                  <w:pPr>
                    <w:rPr>
                      <w:rFonts w:cstheme="minorHAnsi"/>
                      <w:b/>
                      <w:bCs/>
                      <w:szCs w:val="24"/>
                    </w:rPr>
                  </w:pPr>
                  <w:r w:rsidRPr="00C91AAE">
                    <w:rPr>
                      <w:rFonts w:cstheme="minorHAnsi"/>
                      <w:b/>
                      <w:bCs/>
                      <w:szCs w:val="24"/>
                    </w:rPr>
                    <w:t>32%</w:t>
                  </w:r>
                </w:p>
              </w:tc>
            </w:tr>
          </w:tbl>
          <w:p w14:paraId="417F9A10" w14:textId="77777777" w:rsidR="00C91AAE" w:rsidRPr="00C91AAE" w:rsidRDefault="00C91AAE" w:rsidP="00C91AAE">
            <w:pPr>
              <w:rPr>
                <w:rFonts w:cstheme="minorHAnsi"/>
                <w:b/>
                <w:bCs/>
                <w:szCs w:val="24"/>
                <w:lang w:val="en-US"/>
              </w:rPr>
            </w:pPr>
            <w:r w:rsidRPr="00C91AAE">
              <w:rPr>
                <w:rFonts w:cstheme="minorHAnsi"/>
                <w:b/>
                <w:bCs/>
                <w:szCs w:val="24"/>
                <w:lang w:val="en-US"/>
              </w:rPr>
              <w:t>Table 3: Staff Group Breakdown AfC</w:t>
            </w:r>
          </w:p>
          <w:p w14:paraId="57462CA1" w14:textId="77777777" w:rsidR="00C91AAE" w:rsidRPr="00C91AAE" w:rsidRDefault="00C91AAE" w:rsidP="00C91AAE">
            <w:pPr>
              <w:rPr>
                <w:rFonts w:cstheme="minorHAnsi"/>
                <w:b/>
                <w:bCs/>
                <w:szCs w:val="24"/>
                <w:lang w:val="en-US"/>
              </w:rPr>
            </w:pPr>
          </w:p>
          <w:tbl>
            <w:tblPr>
              <w:tblW w:w="9226" w:type="dxa"/>
              <w:tblInd w:w="704" w:type="dxa"/>
              <w:tblLook w:val="04A0" w:firstRow="1" w:lastRow="0" w:firstColumn="1" w:lastColumn="0" w:noHBand="0" w:noVBand="1"/>
            </w:tblPr>
            <w:tblGrid>
              <w:gridCol w:w="4015"/>
              <w:gridCol w:w="1684"/>
              <w:gridCol w:w="1203"/>
              <w:gridCol w:w="1301"/>
              <w:gridCol w:w="931"/>
            </w:tblGrid>
            <w:tr w:rsidR="00C91AAE" w:rsidRPr="00C91AAE" w14:paraId="698D0DE0" w14:textId="77777777" w:rsidTr="00EA5B3A">
              <w:trPr>
                <w:trHeight w:val="381"/>
              </w:trPr>
              <w:tc>
                <w:tcPr>
                  <w:tcW w:w="4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51D53" w14:textId="77777777" w:rsidR="00C91AAE" w:rsidRPr="00C91AAE" w:rsidRDefault="00C91AAE" w:rsidP="00C91AAE">
                  <w:pPr>
                    <w:rPr>
                      <w:rFonts w:cstheme="minorHAnsi"/>
                      <w:b/>
                      <w:bCs/>
                      <w:szCs w:val="24"/>
                    </w:rPr>
                  </w:pPr>
                  <w:r w:rsidRPr="00C91AAE">
                    <w:rPr>
                      <w:rFonts w:cstheme="minorHAnsi"/>
                      <w:b/>
                      <w:bCs/>
                      <w:szCs w:val="24"/>
                    </w:rPr>
                    <w:t>Staff Overview</w:t>
                  </w:r>
                </w:p>
              </w:tc>
              <w:tc>
                <w:tcPr>
                  <w:tcW w:w="291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02AE47" w14:textId="77777777" w:rsidR="00C91AAE" w:rsidRPr="00C91AAE" w:rsidRDefault="00C91AAE" w:rsidP="00C91AAE">
                  <w:pPr>
                    <w:rPr>
                      <w:rFonts w:cstheme="minorHAnsi"/>
                      <w:b/>
                      <w:bCs/>
                      <w:szCs w:val="24"/>
                    </w:rPr>
                  </w:pPr>
                  <w:r w:rsidRPr="00C91AAE">
                    <w:rPr>
                      <w:rFonts w:cstheme="minorHAnsi"/>
                      <w:b/>
                      <w:bCs/>
                      <w:szCs w:val="24"/>
                    </w:rPr>
                    <w:t>Headcount</w:t>
                  </w:r>
                </w:p>
              </w:tc>
              <w:tc>
                <w:tcPr>
                  <w:tcW w:w="225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2E4AB51" w14:textId="77777777" w:rsidR="00C91AAE" w:rsidRPr="00C91AAE" w:rsidRDefault="00C91AAE" w:rsidP="00C91AAE">
                  <w:pPr>
                    <w:rPr>
                      <w:rFonts w:cstheme="minorHAnsi"/>
                      <w:b/>
                      <w:bCs/>
                      <w:szCs w:val="24"/>
                    </w:rPr>
                  </w:pPr>
                  <w:r w:rsidRPr="00C91AAE">
                    <w:rPr>
                      <w:rFonts w:cstheme="minorHAnsi"/>
                      <w:b/>
                      <w:bCs/>
                      <w:szCs w:val="24"/>
                    </w:rPr>
                    <w:t>% in Band</w:t>
                  </w:r>
                </w:p>
              </w:tc>
            </w:tr>
            <w:tr w:rsidR="00C91AAE" w:rsidRPr="00C91AAE" w14:paraId="3155ED3B" w14:textId="77777777" w:rsidTr="00EA5B3A">
              <w:trPr>
                <w:trHeight w:val="381"/>
              </w:trPr>
              <w:tc>
                <w:tcPr>
                  <w:tcW w:w="4059" w:type="dxa"/>
                  <w:tcBorders>
                    <w:top w:val="nil"/>
                    <w:left w:val="single" w:sz="4" w:space="0" w:color="auto"/>
                    <w:bottom w:val="single" w:sz="4" w:space="0" w:color="auto"/>
                    <w:right w:val="single" w:sz="4" w:space="0" w:color="auto"/>
                  </w:tcBorders>
                  <w:shd w:val="clear" w:color="000000" w:fill="8EA9DB"/>
                  <w:noWrap/>
                  <w:vAlign w:val="bottom"/>
                  <w:hideMark/>
                </w:tcPr>
                <w:p w14:paraId="635A4734" w14:textId="77777777" w:rsidR="00C91AAE" w:rsidRPr="00C91AAE" w:rsidRDefault="00C91AAE" w:rsidP="00C91AAE">
                  <w:pPr>
                    <w:rPr>
                      <w:rFonts w:cstheme="minorHAnsi"/>
                      <w:b/>
                      <w:bCs/>
                      <w:szCs w:val="24"/>
                    </w:rPr>
                  </w:pPr>
                  <w:r w:rsidRPr="00C91AAE">
                    <w:rPr>
                      <w:rFonts w:cstheme="minorHAnsi"/>
                      <w:b/>
                      <w:bCs/>
                      <w:szCs w:val="24"/>
                    </w:rPr>
                    <w:t>Staff Group</w:t>
                  </w:r>
                </w:p>
              </w:tc>
              <w:tc>
                <w:tcPr>
                  <w:tcW w:w="1701" w:type="dxa"/>
                  <w:tcBorders>
                    <w:top w:val="nil"/>
                    <w:left w:val="nil"/>
                    <w:bottom w:val="single" w:sz="4" w:space="0" w:color="auto"/>
                    <w:right w:val="single" w:sz="4" w:space="0" w:color="auto"/>
                  </w:tcBorders>
                  <w:shd w:val="clear" w:color="000000" w:fill="8EA9DB"/>
                  <w:noWrap/>
                  <w:vAlign w:val="bottom"/>
                  <w:hideMark/>
                </w:tcPr>
                <w:p w14:paraId="196A8743" w14:textId="77777777" w:rsidR="00C91AAE" w:rsidRPr="00C91AAE" w:rsidRDefault="00C91AAE" w:rsidP="00C91AAE">
                  <w:pPr>
                    <w:rPr>
                      <w:rFonts w:cstheme="minorHAnsi"/>
                      <w:b/>
                      <w:bCs/>
                      <w:szCs w:val="24"/>
                    </w:rPr>
                  </w:pPr>
                  <w:r w:rsidRPr="00C91AAE">
                    <w:rPr>
                      <w:rFonts w:cstheme="minorHAnsi"/>
                      <w:b/>
                      <w:bCs/>
                      <w:szCs w:val="24"/>
                    </w:rPr>
                    <w:t>Female</w:t>
                  </w:r>
                </w:p>
              </w:tc>
              <w:tc>
                <w:tcPr>
                  <w:tcW w:w="1214" w:type="dxa"/>
                  <w:tcBorders>
                    <w:top w:val="nil"/>
                    <w:left w:val="nil"/>
                    <w:bottom w:val="single" w:sz="4" w:space="0" w:color="auto"/>
                    <w:right w:val="single" w:sz="4" w:space="0" w:color="auto"/>
                  </w:tcBorders>
                  <w:shd w:val="clear" w:color="000000" w:fill="8EA9DB"/>
                  <w:noWrap/>
                  <w:vAlign w:val="bottom"/>
                  <w:hideMark/>
                </w:tcPr>
                <w:p w14:paraId="26D3C200" w14:textId="77777777" w:rsidR="00C91AAE" w:rsidRPr="00C91AAE" w:rsidRDefault="00C91AAE" w:rsidP="00C91AAE">
                  <w:pPr>
                    <w:rPr>
                      <w:rFonts w:cstheme="minorHAnsi"/>
                      <w:b/>
                      <w:bCs/>
                      <w:szCs w:val="24"/>
                    </w:rPr>
                  </w:pPr>
                  <w:r w:rsidRPr="00C91AAE">
                    <w:rPr>
                      <w:rFonts w:cstheme="minorHAnsi"/>
                      <w:b/>
                      <w:bCs/>
                      <w:szCs w:val="24"/>
                    </w:rPr>
                    <w:t>Male</w:t>
                  </w:r>
                </w:p>
              </w:tc>
              <w:tc>
                <w:tcPr>
                  <w:tcW w:w="1313" w:type="dxa"/>
                  <w:tcBorders>
                    <w:top w:val="nil"/>
                    <w:left w:val="nil"/>
                    <w:bottom w:val="single" w:sz="4" w:space="0" w:color="auto"/>
                    <w:right w:val="single" w:sz="4" w:space="0" w:color="auto"/>
                  </w:tcBorders>
                  <w:shd w:val="clear" w:color="000000" w:fill="8EA9DB"/>
                  <w:noWrap/>
                  <w:vAlign w:val="bottom"/>
                  <w:hideMark/>
                </w:tcPr>
                <w:p w14:paraId="24C6375E" w14:textId="77777777" w:rsidR="00C91AAE" w:rsidRPr="00C91AAE" w:rsidRDefault="00C91AAE" w:rsidP="00C91AAE">
                  <w:pPr>
                    <w:rPr>
                      <w:rFonts w:cstheme="minorHAnsi"/>
                      <w:b/>
                      <w:bCs/>
                      <w:szCs w:val="24"/>
                    </w:rPr>
                  </w:pPr>
                  <w:r w:rsidRPr="00C91AAE">
                    <w:rPr>
                      <w:rFonts w:cstheme="minorHAnsi"/>
                      <w:b/>
                      <w:bCs/>
                      <w:szCs w:val="24"/>
                    </w:rPr>
                    <w:t>Female</w:t>
                  </w:r>
                </w:p>
              </w:tc>
              <w:tc>
                <w:tcPr>
                  <w:tcW w:w="939" w:type="dxa"/>
                  <w:tcBorders>
                    <w:top w:val="nil"/>
                    <w:left w:val="nil"/>
                    <w:bottom w:val="single" w:sz="4" w:space="0" w:color="auto"/>
                    <w:right w:val="single" w:sz="4" w:space="0" w:color="auto"/>
                  </w:tcBorders>
                  <w:shd w:val="clear" w:color="000000" w:fill="8EA9DB"/>
                  <w:noWrap/>
                  <w:vAlign w:val="bottom"/>
                  <w:hideMark/>
                </w:tcPr>
                <w:p w14:paraId="6346E1EB" w14:textId="77777777" w:rsidR="00C91AAE" w:rsidRPr="00C91AAE" w:rsidRDefault="00C91AAE" w:rsidP="00C91AAE">
                  <w:pPr>
                    <w:rPr>
                      <w:rFonts w:cstheme="minorHAnsi"/>
                      <w:b/>
                      <w:bCs/>
                      <w:szCs w:val="24"/>
                    </w:rPr>
                  </w:pPr>
                  <w:r w:rsidRPr="00C91AAE">
                    <w:rPr>
                      <w:rFonts w:cstheme="minorHAnsi"/>
                      <w:b/>
                      <w:bCs/>
                      <w:szCs w:val="24"/>
                    </w:rPr>
                    <w:t>Male</w:t>
                  </w:r>
                </w:p>
              </w:tc>
            </w:tr>
            <w:tr w:rsidR="00C91AAE" w:rsidRPr="00C91AAE" w14:paraId="6A5CCB76" w14:textId="77777777" w:rsidTr="00EA5B3A">
              <w:trPr>
                <w:trHeight w:val="381"/>
              </w:trPr>
              <w:tc>
                <w:tcPr>
                  <w:tcW w:w="4059" w:type="dxa"/>
                  <w:tcBorders>
                    <w:top w:val="nil"/>
                    <w:left w:val="single" w:sz="4" w:space="0" w:color="auto"/>
                    <w:bottom w:val="single" w:sz="4" w:space="0" w:color="auto"/>
                    <w:right w:val="single" w:sz="4" w:space="0" w:color="auto"/>
                  </w:tcBorders>
                  <w:shd w:val="clear" w:color="auto" w:fill="auto"/>
                  <w:noWrap/>
                  <w:vAlign w:val="bottom"/>
                  <w:hideMark/>
                </w:tcPr>
                <w:p w14:paraId="487AC9BF" w14:textId="77777777" w:rsidR="00C91AAE" w:rsidRPr="00C91AAE" w:rsidRDefault="00C91AAE" w:rsidP="00C91AAE">
                  <w:pPr>
                    <w:rPr>
                      <w:rFonts w:cstheme="minorHAnsi"/>
                      <w:b/>
                      <w:bCs/>
                      <w:szCs w:val="24"/>
                    </w:rPr>
                  </w:pPr>
                  <w:r w:rsidRPr="00C91AAE">
                    <w:rPr>
                      <w:rFonts w:cstheme="minorHAnsi"/>
                      <w:b/>
                      <w:bCs/>
                      <w:szCs w:val="24"/>
                    </w:rPr>
                    <w:t>Consultant</w:t>
                  </w:r>
                </w:p>
              </w:tc>
              <w:tc>
                <w:tcPr>
                  <w:tcW w:w="1701" w:type="dxa"/>
                  <w:tcBorders>
                    <w:top w:val="nil"/>
                    <w:left w:val="nil"/>
                    <w:bottom w:val="single" w:sz="4" w:space="0" w:color="auto"/>
                    <w:right w:val="single" w:sz="4" w:space="0" w:color="auto"/>
                  </w:tcBorders>
                  <w:shd w:val="clear" w:color="auto" w:fill="auto"/>
                  <w:noWrap/>
                  <w:vAlign w:val="bottom"/>
                  <w:hideMark/>
                </w:tcPr>
                <w:p w14:paraId="299A9202" w14:textId="77777777" w:rsidR="00C91AAE" w:rsidRPr="00C91AAE" w:rsidRDefault="00C91AAE" w:rsidP="00C91AAE">
                  <w:pPr>
                    <w:rPr>
                      <w:rFonts w:cstheme="minorHAnsi"/>
                      <w:b/>
                      <w:bCs/>
                      <w:szCs w:val="24"/>
                    </w:rPr>
                  </w:pPr>
                  <w:r w:rsidRPr="00C91AAE">
                    <w:rPr>
                      <w:rFonts w:cstheme="minorHAnsi"/>
                      <w:b/>
                      <w:bCs/>
                      <w:szCs w:val="24"/>
                    </w:rPr>
                    <w:t>77</w:t>
                  </w:r>
                </w:p>
              </w:tc>
              <w:tc>
                <w:tcPr>
                  <w:tcW w:w="1214" w:type="dxa"/>
                  <w:tcBorders>
                    <w:top w:val="nil"/>
                    <w:left w:val="nil"/>
                    <w:bottom w:val="single" w:sz="4" w:space="0" w:color="auto"/>
                    <w:right w:val="single" w:sz="4" w:space="0" w:color="auto"/>
                  </w:tcBorders>
                  <w:shd w:val="clear" w:color="auto" w:fill="auto"/>
                  <w:noWrap/>
                  <w:vAlign w:val="bottom"/>
                  <w:hideMark/>
                </w:tcPr>
                <w:p w14:paraId="29E0269A" w14:textId="77777777" w:rsidR="00C91AAE" w:rsidRPr="00C91AAE" w:rsidRDefault="00C91AAE" w:rsidP="00C91AAE">
                  <w:pPr>
                    <w:rPr>
                      <w:rFonts w:cstheme="minorHAnsi"/>
                      <w:b/>
                      <w:bCs/>
                      <w:szCs w:val="24"/>
                    </w:rPr>
                  </w:pPr>
                  <w:r w:rsidRPr="00C91AAE">
                    <w:rPr>
                      <w:rFonts w:cstheme="minorHAnsi"/>
                      <w:b/>
                      <w:bCs/>
                      <w:szCs w:val="24"/>
                    </w:rPr>
                    <w:t>115</w:t>
                  </w:r>
                </w:p>
              </w:tc>
              <w:tc>
                <w:tcPr>
                  <w:tcW w:w="1313" w:type="dxa"/>
                  <w:tcBorders>
                    <w:top w:val="nil"/>
                    <w:left w:val="nil"/>
                    <w:bottom w:val="single" w:sz="4" w:space="0" w:color="auto"/>
                    <w:right w:val="single" w:sz="4" w:space="0" w:color="auto"/>
                  </w:tcBorders>
                  <w:shd w:val="clear" w:color="auto" w:fill="auto"/>
                  <w:noWrap/>
                  <w:vAlign w:val="bottom"/>
                  <w:hideMark/>
                </w:tcPr>
                <w:p w14:paraId="1735AD8D" w14:textId="77777777" w:rsidR="00C91AAE" w:rsidRPr="00C91AAE" w:rsidRDefault="00C91AAE" w:rsidP="00C91AAE">
                  <w:pPr>
                    <w:rPr>
                      <w:rFonts w:cstheme="minorHAnsi"/>
                      <w:b/>
                      <w:bCs/>
                      <w:szCs w:val="24"/>
                    </w:rPr>
                  </w:pPr>
                  <w:r w:rsidRPr="00C91AAE">
                    <w:rPr>
                      <w:rFonts w:cstheme="minorHAnsi"/>
                      <w:b/>
                      <w:bCs/>
                      <w:szCs w:val="24"/>
                    </w:rPr>
                    <w:t>40%</w:t>
                  </w:r>
                </w:p>
              </w:tc>
              <w:tc>
                <w:tcPr>
                  <w:tcW w:w="939" w:type="dxa"/>
                  <w:tcBorders>
                    <w:top w:val="nil"/>
                    <w:left w:val="nil"/>
                    <w:bottom w:val="single" w:sz="4" w:space="0" w:color="auto"/>
                    <w:right w:val="single" w:sz="4" w:space="0" w:color="auto"/>
                  </w:tcBorders>
                  <w:shd w:val="clear" w:color="auto" w:fill="auto"/>
                  <w:noWrap/>
                  <w:vAlign w:val="bottom"/>
                  <w:hideMark/>
                </w:tcPr>
                <w:p w14:paraId="014FB844" w14:textId="77777777" w:rsidR="00C91AAE" w:rsidRPr="00C91AAE" w:rsidRDefault="00C91AAE" w:rsidP="00C91AAE">
                  <w:pPr>
                    <w:rPr>
                      <w:rFonts w:cstheme="minorHAnsi"/>
                      <w:b/>
                      <w:bCs/>
                      <w:szCs w:val="24"/>
                    </w:rPr>
                  </w:pPr>
                  <w:r w:rsidRPr="00C91AAE">
                    <w:rPr>
                      <w:rFonts w:cstheme="minorHAnsi"/>
                      <w:b/>
                      <w:bCs/>
                      <w:szCs w:val="24"/>
                    </w:rPr>
                    <w:t>60%</w:t>
                  </w:r>
                </w:p>
              </w:tc>
            </w:tr>
            <w:tr w:rsidR="00C91AAE" w:rsidRPr="00C91AAE" w14:paraId="4C9D0998" w14:textId="77777777" w:rsidTr="00EA5B3A">
              <w:trPr>
                <w:trHeight w:val="381"/>
              </w:trPr>
              <w:tc>
                <w:tcPr>
                  <w:tcW w:w="4059" w:type="dxa"/>
                  <w:tcBorders>
                    <w:top w:val="nil"/>
                    <w:left w:val="single" w:sz="4" w:space="0" w:color="auto"/>
                    <w:bottom w:val="single" w:sz="4" w:space="0" w:color="auto"/>
                    <w:right w:val="single" w:sz="4" w:space="0" w:color="auto"/>
                  </w:tcBorders>
                  <w:shd w:val="clear" w:color="auto" w:fill="auto"/>
                  <w:noWrap/>
                  <w:vAlign w:val="bottom"/>
                  <w:hideMark/>
                </w:tcPr>
                <w:p w14:paraId="04F66801" w14:textId="77777777" w:rsidR="00C91AAE" w:rsidRPr="00C91AAE" w:rsidRDefault="00C91AAE" w:rsidP="00C91AAE">
                  <w:pPr>
                    <w:rPr>
                      <w:rFonts w:cstheme="minorHAnsi"/>
                      <w:b/>
                      <w:bCs/>
                      <w:szCs w:val="24"/>
                    </w:rPr>
                  </w:pPr>
                  <w:r w:rsidRPr="00C91AAE">
                    <w:rPr>
                      <w:rFonts w:cstheme="minorHAnsi"/>
                      <w:b/>
                      <w:bCs/>
                      <w:szCs w:val="24"/>
                    </w:rPr>
                    <w:t>Non-consultant career grade</w:t>
                  </w:r>
                </w:p>
              </w:tc>
              <w:tc>
                <w:tcPr>
                  <w:tcW w:w="1701" w:type="dxa"/>
                  <w:tcBorders>
                    <w:top w:val="nil"/>
                    <w:left w:val="nil"/>
                    <w:bottom w:val="single" w:sz="4" w:space="0" w:color="auto"/>
                    <w:right w:val="single" w:sz="4" w:space="0" w:color="auto"/>
                  </w:tcBorders>
                  <w:shd w:val="clear" w:color="auto" w:fill="auto"/>
                  <w:noWrap/>
                  <w:vAlign w:val="bottom"/>
                  <w:hideMark/>
                </w:tcPr>
                <w:p w14:paraId="7C00B026" w14:textId="77777777" w:rsidR="00C91AAE" w:rsidRPr="00C91AAE" w:rsidRDefault="00C91AAE" w:rsidP="00C91AAE">
                  <w:pPr>
                    <w:rPr>
                      <w:rFonts w:cstheme="minorHAnsi"/>
                      <w:b/>
                      <w:bCs/>
                      <w:szCs w:val="24"/>
                    </w:rPr>
                  </w:pPr>
                  <w:r w:rsidRPr="00C91AAE">
                    <w:rPr>
                      <w:rFonts w:cstheme="minorHAnsi"/>
                      <w:b/>
                      <w:bCs/>
                      <w:szCs w:val="24"/>
                    </w:rPr>
                    <w:t>83</w:t>
                  </w:r>
                </w:p>
              </w:tc>
              <w:tc>
                <w:tcPr>
                  <w:tcW w:w="1214" w:type="dxa"/>
                  <w:tcBorders>
                    <w:top w:val="nil"/>
                    <w:left w:val="nil"/>
                    <w:bottom w:val="single" w:sz="4" w:space="0" w:color="auto"/>
                    <w:right w:val="single" w:sz="4" w:space="0" w:color="auto"/>
                  </w:tcBorders>
                  <w:shd w:val="clear" w:color="auto" w:fill="auto"/>
                  <w:noWrap/>
                  <w:vAlign w:val="bottom"/>
                  <w:hideMark/>
                </w:tcPr>
                <w:p w14:paraId="41728E14" w14:textId="77777777" w:rsidR="00C91AAE" w:rsidRPr="00C91AAE" w:rsidRDefault="00C91AAE" w:rsidP="00C91AAE">
                  <w:pPr>
                    <w:rPr>
                      <w:rFonts w:cstheme="minorHAnsi"/>
                      <w:b/>
                      <w:bCs/>
                      <w:szCs w:val="24"/>
                    </w:rPr>
                  </w:pPr>
                  <w:r w:rsidRPr="00C91AAE">
                    <w:rPr>
                      <w:rFonts w:cstheme="minorHAnsi"/>
                      <w:b/>
                      <w:bCs/>
                      <w:szCs w:val="24"/>
                    </w:rPr>
                    <w:t>56</w:t>
                  </w:r>
                </w:p>
              </w:tc>
              <w:tc>
                <w:tcPr>
                  <w:tcW w:w="1313" w:type="dxa"/>
                  <w:tcBorders>
                    <w:top w:val="nil"/>
                    <w:left w:val="nil"/>
                    <w:bottom w:val="single" w:sz="4" w:space="0" w:color="auto"/>
                    <w:right w:val="single" w:sz="4" w:space="0" w:color="auto"/>
                  </w:tcBorders>
                  <w:shd w:val="clear" w:color="auto" w:fill="auto"/>
                  <w:noWrap/>
                  <w:vAlign w:val="bottom"/>
                  <w:hideMark/>
                </w:tcPr>
                <w:p w14:paraId="62C15ADF" w14:textId="77777777" w:rsidR="00C91AAE" w:rsidRPr="00C91AAE" w:rsidRDefault="00C91AAE" w:rsidP="00C91AAE">
                  <w:pPr>
                    <w:rPr>
                      <w:rFonts w:cstheme="minorHAnsi"/>
                      <w:b/>
                      <w:bCs/>
                      <w:szCs w:val="24"/>
                    </w:rPr>
                  </w:pPr>
                  <w:r w:rsidRPr="00C91AAE">
                    <w:rPr>
                      <w:rFonts w:cstheme="minorHAnsi"/>
                      <w:b/>
                      <w:bCs/>
                      <w:szCs w:val="24"/>
                    </w:rPr>
                    <w:t>60%</w:t>
                  </w:r>
                </w:p>
              </w:tc>
              <w:tc>
                <w:tcPr>
                  <w:tcW w:w="939" w:type="dxa"/>
                  <w:tcBorders>
                    <w:top w:val="nil"/>
                    <w:left w:val="nil"/>
                    <w:bottom w:val="single" w:sz="4" w:space="0" w:color="auto"/>
                    <w:right w:val="single" w:sz="4" w:space="0" w:color="auto"/>
                  </w:tcBorders>
                  <w:shd w:val="clear" w:color="auto" w:fill="auto"/>
                  <w:noWrap/>
                  <w:vAlign w:val="bottom"/>
                  <w:hideMark/>
                </w:tcPr>
                <w:p w14:paraId="2EC81366" w14:textId="77777777" w:rsidR="00C91AAE" w:rsidRPr="00C91AAE" w:rsidRDefault="00C91AAE" w:rsidP="00C91AAE">
                  <w:pPr>
                    <w:rPr>
                      <w:rFonts w:cstheme="minorHAnsi"/>
                      <w:b/>
                      <w:bCs/>
                      <w:szCs w:val="24"/>
                    </w:rPr>
                  </w:pPr>
                  <w:r w:rsidRPr="00C91AAE">
                    <w:rPr>
                      <w:rFonts w:cstheme="minorHAnsi"/>
                      <w:b/>
                      <w:bCs/>
                      <w:szCs w:val="24"/>
                    </w:rPr>
                    <w:t>40%</w:t>
                  </w:r>
                </w:p>
              </w:tc>
            </w:tr>
            <w:tr w:rsidR="00C91AAE" w:rsidRPr="00C91AAE" w14:paraId="72D90EFD" w14:textId="77777777" w:rsidTr="00EA5B3A">
              <w:trPr>
                <w:trHeight w:val="381"/>
              </w:trPr>
              <w:tc>
                <w:tcPr>
                  <w:tcW w:w="4059" w:type="dxa"/>
                  <w:tcBorders>
                    <w:top w:val="nil"/>
                    <w:left w:val="single" w:sz="4" w:space="0" w:color="auto"/>
                    <w:bottom w:val="single" w:sz="4" w:space="0" w:color="auto"/>
                    <w:right w:val="single" w:sz="4" w:space="0" w:color="auto"/>
                  </w:tcBorders>
                  <w:shd w:val="clear" w:color="auto" w:fill="auto"/>
                  <w:noWrap/>
                  <w:vAlign w:val="bottom"/>
                  <w:hideMark/>
                </w:tcPr>
                <w:p w14:paraId="3F85E862" w14:textId="77777777" w:rsidR="00C91AAE" w:rsidRPr="00C91AAE" w:rsidRDefault="00C91AAE" w:rsidP="00C91AAE">
                  <w:pPr>
                    <w:rPr>
                      <w:rFonts w:cstheme="minorHAnsi"/>
                      <w:b/>
                      <w:bCs/>
                      <w:szCs w:val="24"/>
                    </w:rPr>
                  </w:pPr>
                  <w:r w:rsidRPr="00C91AAE">
                    <w:rPr>
                      <w:rFonts w:cstheme="minorHAnsi"/>
                      <w:b/>
                      <w:bCs/>
                      <w:szCs w:val="24"/>
                    </w:rPr>
                    <w:t>Trainee grades</w:t>
                  </w:r>
                </w:p>
              </w:tc>
              <w:tc>
                <w:tcPr>
                  <w:tcW w:w="1701" w:type="dxa"/>
                  <w:tcBorders>
                    <w:top w:val="nil"/>
                    <w:left w:val="nil"/>
                    <w:bottom w:val="single" w:sz="4" w:space="0" w:color="auto"/>
                    <w:right w:val="single" w:sz="4" w:space="0" w:color="auto"/>
                  </w:tcBorders>
                  <w:shd w:val="clear" w:color="auto" w:fill="auto"/>
                  <w:noWrap/>
                  <w:vAlign w:val="bottom"/>
                  <w:hideMark/>
                </w:tcPr>
                <w:p w14:paraId="0F30BB1E" w14:textId="77777777" w:rsidR="00C91AAE" w:rsidRPr="00C91AAE" w:rsidRDefault="00C91AAE" w:rsidP="00C91AAE">
                  <w:pPr>
                    <w:rPr>
                      <w:rFonts w:cstheme="minorHAnsi"/>
                      <w:b/>
                      <w:bCs/>
                      <w:szCs w:val="24"/>
                    </w:rPr>
                  </w:pPr>
                  <w:r w:rsidRPr="00C91AAE">
                    <w:rPr>
                      <w:rFonts w:cstheme="minorHAnsi"/>
                      <w:b/>
                      <w:bCs/>
                      <w:szCs w:val="24"/>
                    </w:rPr>
                    <w:t>24</w:t>
                  </w:r>
                </w:p>
              </w:tc>
              <w:tc>
                <w:tcPr>
                  <w:tcW w:w="1214" w:type="dxa"/>
                  <w:tcBorders>
                    <w:top w:val="nil"/>
                    <w:left w:val="nil"/>
                    <w:bottom w:val="single" w:sz="4" w:space="0" w:color="auto"/>
                    <w:right w:val="single" w:sz="4" w:space="0" w:color="auto"/>
                  </w:tcBorders>
                  <w:shd w:val="clear" w:color="auto" w:fill="auto"/>
                  <w:noWrap/>
                  <w:vAlign w:val="bottom"/>
                  <w:hideMark/>
                </w:tcPr>
                <w:p w14:paraId="5B871443" w14:textId="77777777" w:rsidR="00C91AAE" w:rsidRPr="00C91AAE" w:rsidRDefault="00C91AAE" w:rsidP="00C91AAE">
                  <w:pPr>
                    <w:rPr>
                      <w:rFonts w:cstheme="minorHAnsi"/>
                      <w:b/>
                      <w:bCs/>
                      <w:szCs w:val="24"/>
                    </w:rPr>
                  </w:pPr>
                  <w:r w:rsidRPr="00C91AAE">
                    <w:rPr>
                      <w:rFonts w:cstheme="minorHAnsi"/>
                      <w:b/>
                      <w:bCs/>
                      <w:szCs w:val="24"/>
                    </w:rPr>
                    <w:t>29</w:t>
                  </w:r>
                </w:p>
              </w:tc>
              <w:tc>
                <w:tcPr>
                  <w:tcW w:w="1313" w:type="dxa"/>
                  <w:tcBorders>
                    <w:top w:val="nil"/>
                    <w:left w:val="nil"/>
                    <w:bottom w:val="single" w:sz="4" w:space="0" w:color="auto"/>
                    <w:right w:val="single" w:sz="4" w:space="0" w:color="auto"/>
                  </w:tcBorders>
                  <w:shd w:val="clear" w:color="auto" w:fill="auto"/>
                  <w:noWrap/>
                  <w:vAlign w:val="bottom"/>
                  <w:hideMark/>
                </w:tcPr>
                <w:p w14:paraId="6821282D" w14:textId="77777777" w:rsidR="00C91AAE" w:rsidRPr="00C91AAE" w:rsidRDefault="00C91AAE" w:rsidP="00C91AAE">
                  <w:pPr>
                    <w:rPr>
                      <w:rFonts w:cstheme="minorHAnsi"/>
                      <w:b/>
                      <w:bCs/>
                      <w:szCs w:val="24"/>
                    </w:rPr>
                  </w:pPr>
                  <w:r w:rsidRPr="00C91AAE">
                    <w:rPr>
                      <w:rFonts w:cstheme="minorHAnsi"/>
                      <w:b/>
                      <w:bCs/>
                      <w:szCs w:val="24"/>
                    </w:rPr>
                    <w:t>45%</w:t>
                  </w:r>
                </w:p>
              </w:tc>
              <w:tc>
                <w:tcPr>
                  <w:tcW w:w="939" w:type="dxa"/>
                  <w:tcBorders>
                    <w:top w:val="nil"/>
                    <w:left w:val="nil"/>
                    <w:bottom w:val="single" w:sz="4" w:space="0" w:color="auto"/>
                    <w:right w:val="single" w:sz="4" w:space="0" w:color="auto"/>
                  </w:tcBorders>
                  <w:shd w:val="clear" w:color="auto" w:fill="auto"/>
                  <w:noWrap/>
                  <w:vAlign w:val="bottom"/>
                  <w:hideMark/>
                </w:tcPr>
                <w:p w14:paraId="5B0F3E62" w14:textId="77777777" w:rsidR="00C91AAE" w:rsidRPr="00C91AAE" w:rsidRDefault="00C91AAE" w:rsidP="00C91AAE">
                  <w:pPr>
                    <w:rPr>
                      <w:rFonts w:cstheme="minorHAnsi"/>
                      <w:b/>
                      <w:bCs/>
                      <w:szCs w:val="24"/>
                    </w:rPr>
                  </w:pPr>
                  <w:r w:rsidRPr="00C91AAE">
                    <w:rPr>
                      <w:rFonts w:cstheme="minorHAnsi"/>
                      <w:b/>
                      <w:bCs/>
                      <w:szCs w:val="24"/>
                    </w:rPr>
                    <w:t>55%</w:t>
                  </w:r>
                </w:p>
              </w:tc>
            </w:tr>
            <w:tr w:rsidR="00C91AAE" w:rsidRPr="00C91AAE" w14:paraId="6EC9D95A" w14:textId="77777777" w:rsidTr="00EA5B3A">
              <w:trPr>
                <w:trHeight w:val="381"/>
              </w:trPr>
              <w:tc>
                <w:tcPr>
                  <w:tcW w:w="4059" w:type="dxa"/>
                  <w:tcBorders>
                    <w:top w:val="nil"/>
                    <w:left w:val="single" w:sz="4" w:space="0" w:color="auto"/>
                    <w:bottom w:val="single" w:sz="4" w:space="0" w:color="auto"/>
                    <w:right w:val="single" w:sz="4" w:space="0" w:color="auto"/>
                  </w:tcBorders>
                  <w:shd w:val="clear" w:color="000000" w:fill="8EA9DB"/>
                  <w:noWrap/>
                  <w:vAlign w:val="bottom"/>
                  <w:hideMark/>
                </w:tcPr>
                <w:p w14:paraId="0C20F481" w14:textId="77777777" w:rsidR="00C91AAE" w:rsidRPr="00C91AAE" w:rsidRDefault="00C91AAE" w:rsidP="00C91AAE">
                  <w:pPr>
                    <w:rPr>
                      <w:rFonts w:cstheme="minorHAnsi"/>
                      <w:b/>
                      <w:bCs/>
                      <w:szCs w:val="24"/>
                    </w:rPr>
                  </w:pPr>
                  <w:r w:rsidRPr="00C91AAE">
                    <w:rPr>
                      <w:rFonts w:cstheme="minorHAnsi"/>
                      <w:b/>
                      <w:bCs/>
                      <w:szCs w:val="24"/>
                    </w:rPr>
                    <w:t>Grand Total</w:t>
                  </w:r>
                </w:p>
              </w:tc>
              <w:tc>
                <w:tcPr>
                  <w:tcW w:w="1701" w:type="dxa"/>
                  <w:tcBorders>
                    <w:top w:val="nil"/>
                    <w:left w:val="nil"/>
                    <w:bottom w:val="single" w:sz="4" w:space="0" w:color="auto"/>
                    <w:right w:val="single" w:sz="4" w:space="0" w:color="auto"/>
                  </w:tcBorders>
                  <w:shd w:val="clear" w:color="000000" w:fill="8EA9DB"/>
                  <w:noWrap/>
                  <w:vAlign w:val="bottom"/>
                  <w:hideMark/>
                </w:tcPr>
                <w:p w14:paraId="67509E40" w14:textId="77777777" w:rsidR="00C91AAE" w:rsidRPr="00C91AAE" w:rsidRDefault="00C91AAE" w:rsidP="00C91AAE">
                  <w:pPr>
                    <w:rPr>
                      <w:rFonts w:cstheme="minorHAnsi"/>
                      <w:b/>
                      <w:bCs/>
                      <w:szCs w:val="24"/>
                    </w:rPr>
                  </w:pPr>
                  <w:r w:rsidRPr="00C91AAE">
                    <w:rPr>
                      <w:rFonts w:cstheme="minorHAnsi"/>
                      <w:b/>
                      <w:bCs/>
                      <w:szCs w:val="24"/>
                    </w:rPr>
                    <w:t>184</w:t>
                  </w:r>
                </w:p>
              </w:tc>
              <w:tc>
                <w:tcPr>
                  <w:tcW w:w="1214" w:type="dxa"/>
                  <w:tcBorders>
                    <w:top w:val="nil"/>
                    <w:left w:val="nil"/>
                    <w:bottom w:val="single" w:sz="4" w:space="0" w:color="auto"/>
                    <w:right w:val="single" w:sz="4" w:space="0" w:color="auto"/>
                  </w:tcBorders>
                  <w:shd w:val="clear" w:color="000000" w:fill="8EA9DB"/>
                  <w:noWrap/>
                  <w:vAlign w:val="bottom"/>
                  <w:hideMark/>
                </w:tcPr>
                <w:p w14:paraId="1AD3EF98" w14:textId="77777777" w:rsidR="00C91AAE" w:rsidRPr="00C91AAE" w:rsidRDefault="00C91AAE" w:rsidP="00C91AAE">
                  <w:pPr>
                    <w:rPr>
                      <w:rFonts w:cstheme="minorHAnsi"/>
                      <w:b/>
                      <w:bCs/>
                      <w:szCs w:val="24"/>
                    </w:rPr>
                  </w:pPr>
                  <w:r w:rsidRPr="00C91AAE">
                    <w:rPr>
                      <w:rFonts w:cstheme="minorHAnsi"/>
                      <w:b/>
                      <w:bCs/>
                      <w:szCs w:val="24"/>
                    </w:rPr>
                    <w:t>200</w:t>
                  </w:r>
                </w:p>
              </w:tc>
              <w:tc>
                <w:tcPr>
                  <w:tcW w:w="1313" w:type="dxa"/>
                  <w:tcBorders>
                    <w:top w:val="nil"/>
                    <w:left w:val="nil"/>
                    <w:bottom w:val="single" w:sz="4" w:space="0" w:color="auto"/>
                    <w:right w:val="single" w:sz="4" w:space="0" w:color="auto"/>
                  </w:tcBorders>
                  <w:shd w:val="clear" w:color="000000" w:fill="8EA9DB"/>
                  <w:noWrap/>
                  <w:vAlign w:val="bottom"/>
                  <w:hideMark/>
                </w:tcPr>
                <w:p w14:paraId="4F9B54BD" w14:textId="77777777" w:rsidR="00C91AAE" w:rsidRPr="00C91AAE" w:rsidRDefault="00C91AAE" w:rsidP="00C91AAE">
                  <w:pPr>
                    <w:rPr>
                      <w:rFonts w:cstheme="minorHAnsi"/>
                      <w:b/>
                      <w:bCs/>
                      <w:szCs w:val="24"/>
                    </w:rPr>
                  </w:pPr>
                  <w:r w:rsidRPr="00C91AAE">
                    <w:rPr>
                      <w:rFonts w:cstheme="minorHAnsi"/>
                      <w:b/>
                      <w:bCs/>
                      <w:szCs w:val="24"/>
                    </w:rPr>
                    <w:t>48%</w:t>
                  </w:r>
                </w:p>
              </w:tc>
              <w:tc>
                <w:tcPr>
                  <w:tcW w:w="939" w:type="dxa"/>
                  <w:tcBorders>
                    <w:top w:val="nil"/>
                    <w:left w:val="nil"/>
                    <w:bottom w:val="single" w:sz="4" w:space="0" w:color="auto"/>
                    <w:right w:val="single" w:sz="4" w:space="0" w:color="auto"/>
                  </w:tcBorders>
                  <w:shd w:val="clear" w:color="000000" w:fill="8EA9DB"/>
                  <w:noWrap/>
                  <w:vAlign w:val="bottom"/>
                  <w:hideMark/>
                </w:tcPr>
                <w:p w14:paraId="150EAB2F" w14:textId="77777777" w:rsidR="00C91AAE" w:rsidRPr="00C91AAE" w:rsidRDefault="00C91AAE" w:rsidP="00C91AAE">
                  <w:pPr>
                    <w:rPr>
                      <w:rFonts w:cstheme="minorHAnsi"/>
                      <w:b/>
                      <w:bCs/>
                      <w:szCs w:val="24"/>
                    </w:rPr>
                  </w:pPr>
                  <w:r w:rsidRPr="00C91AAE">
                    <w:rPr>
                      <w:rFonts w:cstheme="minorHAnsi"/>
                      <w:b/>
                      <w:bCs/>
                      <w:szCs w:val="24"/>
                    </w:rPr>
                    <w:t>52%</w:t>
                  </w:r>
                </w:p>
              </w:tc>
            </w:tr>
          </w:tbl>
          <w:p w14:paraId="50A44323" w14:textId="77777777" w:rsidR="00C91AAE" w:rsidRPr="00C91AAE" w:rsidRDefault="00C91AAE" w:rsidP="00C91AAE">
            <w:pPr>
              <w:rPr>
                <w:rFonts w:cstheme="minorHAnsi"/>
                <w:b/>
                <w:bCs/>
                <w:szCs w:val="24"/>
                <w:lang w:val="en-US"/>
              </w:rPr>
            </w:pPr>
            <w:r w:rsidRPr="00C91AAE">
              <w:rPr>
                <w:rFonts w:cstheme="minorHAnsi"/>
                <w:b/>
                <w:bCs/>
                <w:szCs w:val="24"/>
                <w:lang w:val="en-US"/>
              </w:rPr>
              <w:t>Table 4: Staff Group Breakdown Medical</w:t>
            </w:r>
          </w:p>
          <w:p w14:paraId="33BFEBBE" w14:textId="078A9B00" w:rsidR="00C91AAE" w:rsidRPr="00C91AAE" w:rsidRDefault="00C91AAE" w:rsidP="00C91AAE">
            <w:pPr>
              <w:rPr>
                <w:rFonts w:cstheme="minorHAnsi"/>
                <w:b/>
                <w:bCs/>
                <w:szCs w:val="24"/>
                <w:lang w:val="en-US"/>
              </w:rPr>
            </w:pPr>
            <w:r w:rsidRPr="00C91AAE">
              <w:rPr>
                <w:rFonts w:cstheme="minorHAnsi"/>
                <w:b/>
                <w:bCs/>
                <w:szCs w:val="24"/>
                <w:lang w:val="en-US"/>
              </w:rPr>
              <w:lastRenderedPageBreak/>
              <w:t xml:space="preserve">        </w:t>
            </w:r>
          </w:p>
          <w:p w14:paraId="64C3A0ED" w14:textId="77777777" w:rsidR="00C91AAE" w:rsidRPr="00C91AAE" w:rsidRDefault="00C91AAE" w:rsidP="00C91AAE">
            <w:pPr>
              <w:numPr>
                <w:ilvl w:val="1"/>
                <w:numId w:val="14"/>
              </w:numPr>
              <w:rPr>
                <w:rFonts w:cstheme="minorHAnsi"/>
                <w:szCs w:val="24"/>
              </w:rPr>
            </w:pPr>
            <w:r w:rsidRPr="00C91AAE">
              <w:rPr>
                <w:rFonts w:cstheme="minorHAnsi"/>
                <w:szCs w:val="24"/>
                <w:lang w:val="en-US"/>
              </w:rPr>
              <w:t xml:space="preserve">Whilst women make up 68% of our workforce, they are overrepresented in the Lower, Lower </w:t>
            </w:r>
            <w:proofErr w:type="gramStart"/>
            <w:r w:rsidRPr="00C91AAE">
              <w:rPr>
                <w:rFonts w:cstheme="minorHAnsi"/>
                <w:szCs w:val="24"/>
                <w:lang w:val="en-US"/>
              </w:rPr>
              <w:t>Middle</w:t>
            </w:r>
            <w:proofErr w:type="gramEnd"/>
            <w:r w:rsidRPr="00C91AAE">
              <w:rPr>
                <w:rFonts w:cstheme="minorHAnsi"/>
                <w:szCs w:val="24"/>
                <w:lang w:val="en-US"/>
              </w:rPr>
              <w:t xml:space="preserve"> and Upper Middle pay quartiles and underrepresented in the Upper pay quartile. This has improved only slightly compared to 2022. </w:t>
            </w:r>
            <w:r w:rsidRPr="00C91AAE">
              <w:rPr>
                <w:rFonts w:cstheme="minorHAnsi"/>
                <w:szCs w:val="24"/>
              </w:rPr>
              <w:t>Whilst women make up 68% of our workforce, they continue to be overrepresented in the Lower (0-25%), Lower Middle (25-50%), and Upper Middle (50-75%) pay quartiles, while their representation in the Upper (75-100%) pay quartile remains lower at 50.32%.</w:t>
            </w:r>
          </w:p>
          <w:p w14:paraId="40019A2F" w14:textId="77777777" w:rsidR="00C91AAE" w:rsidRPr="00C91AAE" w:rsidRDefault="00C91AAE" w:rsidP="00C91AAE">
            <w:pPr>
              <w:rPr>
                <w:rFonts w:cstheme="minorHAnsi"/>
                <w:szCs w:val="24"/>
              </w:rPr>
            </w:pPr>
            <w:r w:rsidRPr="00C91AAE">
              <w:rPr>
                <w:rFonts w:cstheme="minorHAnsi"/>
                <w:szCs w:val="24"/>
              </w:rPr>
              <w:t>Compared to 2023, there has been a decline in female representation in the Upper quartile, from 54.16% to 50.32%, marking a shift of almost 4% towards more male representation at the highest pay levels. In contrast, the proportion of women in the 50-75% quartile has slightly increased from 74.42% to 74.85%, indicating some progression in the middle pay bands.</w:t>
            </w:r>
          </w:p>
          <w:p w14:paraId="1884E11B" w14:textId="77777777" w:rsidR="00C91AAE" w:rsidRPr="00C91AAE" w:rsidRDefault="00C91AAE" w:rsidP="00C91AAE">
            <w:pPr>
              <w:numPr>
                <w:ilvl w:val="1"/>
                <w:numId w:val="14"/>
              </w:numPr>
              <w:rPr>
                <w:rFonts w:cstheme="minorHAnsi"/>
                <w:b/>
                <w:bCs/>
                <w:szCs w:val="24"/>
              </w:rPr>
            </w:pPr>
            <w:r w:rsidRPr="00C91AAE">
              <w:rPr>
                <w:rFonts w:cstheme="minorHAnsi"/>
                <w:b/>
                <w:bCs/>
                <w:szCs w:val="24"/>
              </w:rPr>
              <w:t>In terms of headcount:</w:t>
            </w:r>
          </w:p>
          <w:p w14:paraId="3CBC8F18" w14:textId="77777777" w:rsidR="00C91AAE" w:rsidRPr="00C91AAE" w:rsidRDefault="00C91AAE" w:rsidP="00C91AAE">
            <w:pPr>
              <w:numPr>
                <w:ilvl w:val="0"/>
                <w:numId w:val="17"/>
              </w:numPr>
              <w:rPr>
                <w:rFonts w:cstheme="minorHAnsi"/>
                <w:szCs w:val="24"/>
              </w:rPr>
            </w:pPr>
            <w:r w:rsidRPr="00C91AAE">
              <w:rPr>
                <w:rFonts w:cstheme="minorHAnsi"/>
                <w:szCs w:val="24"/>
              </w:rPr>
              <w:t>There are 8 fewer women in the Upper quartile (319 in 2023 to 311 in 2024).</w:t>
            </w:r>
          </w:p>
          <w:p w14:paraId="28CA4DBB" w14:textId="77777777" w:rsidR="00C91AAE" w:rsidRPr="00C91AAE" w:rsidRDefault="00C91AAE" w:rsidP="00C91AAE">
            <w:pPr>
              <w:numPr>
                <w:ilvl w:val="0"/>
                <w:numId w:val="17"/>
              </w:numPr>
              <w:rPr>
                <w:rFonts w:cstheme="minorHAnsi"/>
                <w:szCs w:val="24"/>
              </w:rPr>
            </w:pPr>
            <w:r w:rsidRPr="00C91AAE">
              <w:rPr>
                <w:rFonts w:cstheme="minorHAnsi"/>
                <w:szCs w:val="24"/>
              </w:rPr>
              <w:t>There are 37 more men in the Upper quartile (270 in 2023 to 307 in 2024).</w:t>
            </w:r>
          </w:p>
          <w:p w14:paraId="7414D9BE" w14:textId="77777777" w:rsidR="00C91AAE" w:rsidRPr="00C91AAE" w:rsidRDefault="00C91AAE" w:rsidP="00C91AAE">
            <w:pPr>
              <w:rPr>
                <w:rFonts w:cstheme="minorHAnsi"/>
                <w:szCs w:val="24"/>
              </w:rPr>
            </w:pPr>
            <w:r w:rsidRPr="00C91AAE">
              <w:rPr>
                <w:rFonts w:cstheme="minorHAnsi"/>
                <w:szCs w:val="24"/>
              </w:rPr>
              <w:t>This suggests a widening gender disparity at the highest pay levels, reinforcing the importance of continued efforts to support women’s career progression into senior and higher-paid roles.</w:t>
            </w:r>
          </w:p>
          <w:p w14:paraId="5EF253EB" w14:textId="77777777" w:rsidR="00C91AAE" w:rsidRPr="00C91AAE" w:rsidRDefault="00C91AAE" w:rsidP="00C91AAE">
            <w:pPr>
              <w:rPr>
                <w:rFonts w:cstheme="minorHAnsi"/>
                <w:b/>
                <w:bCs/>
                <w:szCs w:val="24"/>
                <w:lang w:val="en-US"/>
              </w:rPr>
            </w:pPr>
          </w:p>
          <w:tbl>
            <w:tblPr>
              <w:tblW w:w="8505" w:type="dxa"/>
              <w:tblInd w:w="562" w:type="dxa"/>
              <w:tblLook w:val="04A0" w:firstRow="1" w:lastRow="0" w:firstColumn="1" w:lastColumn="0" w:noHBand="0" w:noVBand="1"/>
            </w:tblPr>
            <w:tblGrid>
              <w:gridCol w:w="1418"/>
              <w:gridCol w:w="2126"/>
              <w:gridCol w:w="1559"/>
              <w:gridCol w:w="1701"/>
              <w:gridCol w:w="1701"/>
            </w:tblGrid>
            <w:tr w:rsidR="00C91AAE" w:rsidRPr="00C91AAE" w14:paraId="032F9301" w14:textId="77777777" w:rsidTr="003352D5">
              <w:trPr>
                <w:trHeight w:val="431"/>
              </w:trPr>
              <w:tc>
                <w:tcPr>
                  <w:tcW w:w="1418" w:type="dxa"/>
                  <w:tcBorders>
                    <w:top w:val="single" w:sz="4" w:space="0" w:color="979991"/>
                    <w:left w:val="single" w:sz="4" w:space="0" w:color="979991"/>
                    <w:bottom w:val="nil"/>
                    <w:right w:val="nil"/>
                  </w:tcBorders>
                  <w:shd w:val="clear" w:color="000000" w:fill="4472C4"/>
                  <w:hideMark/>
                </w:tcPr>
                <w:p w14:paraId="118A4EFE" w14:textId="77777777" w:rsidR="00C91AAE" w:rsidRPr="00C91AAE" w:rsidRDefault="00C91AAE" w:rsidP="00C91AAE">
                  <w:pPr>
                    <w:rPr>
                      <w:rFonts w:cstheme="minorHAnsi"/>
                      <w:b/>
                      <w:bCs/>
                      <w:szCs w:val="24"/>
                    </w:rPr>
                  </w:pPr>
                  <w:r w:rsidRPr="00C91AAE">
                    <w:rPr>
                      <w:rFonts w:cstheme="minorHAnsi"/>
                      <w:b/>
                      <w:bCs/>
                      <w:szCs w:val="24"/>
                    </w:rPr>
                    <w:t>Quartile</w:t>
                  </w:r>
                </w:p>
              </w:tc>
              <w:tc>
                <w:tcPr>
                  <w:tcW w:w="2126" w:type="dxa"/>
                  <w:tcBorders>
                    <w:top w:val="single" w:sz="4" w:space="0" w:color="979991"/>
                    <w:left w:val="single" w:sz="4" w:space="0" w:color="979991"/>
                    <w:bottom w:val="single" w:sz="4" w:space="0" w:color="979991"/>
                    <w:right w:val="nil"/>
                  </w:tcBorders>
                  <w:shd w:val="clear" w:color="000000" w:fill="4472C4"/>
                  <w:vAlign w:val="center"/>
                  <w:hideMark/>
                </w:tcPr>
                <w:p w14:paraId="020519FA" w14:textId="77777777" w:rsidR="00C91AAE" w:rsidRPr="00C91AAE" w:rsidRDefault="00C91AAE" w:rsidP="00C91AAE">
                  <w:pPr>
                    <w:rPr>
                      <w:rFonts w:cstheme="minorHAnsi"/>
                      <w:b/>
                      <w:bCs/>
                      <w:szCs w:val="24"/>
                    </w:rPr>
                  </w:pPr>
                  <w:r w:rsidRPr="00C91AAE">
                    <w:rPr>
                      <w:rFonts w:cstheme="minorHAnsi"/>
                      <w:b/>
                      <w:bCs/>
                      <w:szCs w:val="24"/>
                    </w:rPr>
                    <w:t>Female</w:t>
                  </w:r>
                </w:p>
              </w:tc>
              <w:tc>
                <w:tcPr>
                  <w:tcW w:w="1559" w:type="dxa"/>
                  <w:tcBorders>
                    <w:top w:val="single" w:sz="4" w:space="0" w:color="979991"/>
                    <w:left w:val="single" w:sz="4" w:space="0" w:color="979991"/>
                    <w:bottom w:val="single" w:sz="4" w:space="0" w:color="979991"/>
                    <w:right w:val="nil"/>
                  </w:tcBorders>
                  <w:shd w:val="clear" w:color="000000" w:fill="4472C4"/>
                  <w:vAlign w:val="center"/>
                  <w:hideMark/>
                </w:tcPr>
                <w:p w14:paraId="18C24C09" w14:textId="77777777" w:rsidR="00C91AAE" w:rsidRPr="00C91AAE" w:rsidRDefault="00C91AAE" w:rsidP="00C91AAE">
                  <w:pPr>
                    <w:rPr>
                      <w:rFonts w:cstheme="minorHAnsi"/>
                      <w:b/>
                      <w:bCs/>
                      <w:szCs w:val="24"/>
                    </w:rPr>
                  </w:pPr>
                  <w:r w:rsidRPr="00C91AAE">
                    <w:rPr>
                      <w:rFonts w:cstheme="minorHAnsi"/>
                      <w:b/>
                      <w:bCs/>
                      <w:szCs w:val="24"/>
                    </w:rPr>
                    <w:t>Male</w:t>
                  </w:r>
                </w:p>
              </w:tc>
              <w:tc>
                <w:tcPr>
                  <w:tcW w:w="1701" w:type="dxa"/>
                  <w:tcBorders>
                    <w:top w:val="single" w:sz="4" w:space="0" w:color="979991"/>
                    <w:left w:val="single" w:sz="4" w:space="0" w:color="979991"/>
                    <w:bottom w:val="single" w:sz="4" w:space="0" w:color="979991"/>
                    <w:right w:val="nil"/>
                  </w:tcBorders>
                  <w:shd w:val="clear" w:color="000000" w:fill="4472C4"/>
                  <w:vAlign w:val="center"/>
                  <w:hideMark/>
                </w:tcPr>
                <w:p w14:paraId="70EBC24C" w14:textId="77777777" w:rsidR="00C91AAE" w:rsidRPr="00C91AAE" w:rsidRDefault="00C91AAE" w:rsidP="00C91AAE">
                  <w:pPr>
                    <w:rPr>
                      <w:rFonts w:cstheme="minorHAnsi"/>
                      <w:b/>
                      <w:bCs/>
                      <w:szCs w:val="24"/>
                    </w:rPr>
                  </w:pPr>
                  <w:r w:rsidRPr="00C91AAE">
                    <w:rPr>
                      <w:rFonts w:cstheme="minorHAnsi"/>
                      <w:b/>
                      <w:bCs/>
                      <w:szCs w:val="24"/>
                    </w:rPr>
                    <w:t>Female %</w:t>
                  </w:r>
                </w:p>
              </w:tc>
              <w:tc>
                <w:tcPr>
                  <w:tcW w:w="1701" w:type="dxa"/>
                  <w:tcBorders>
                    <w:top w:val="single" w:sz="4" w:space="0" w:color="979991"/>
                    <w:left w:val="single" w:sz="4" w:space="0" w:color="979991"/>
                    <w:bottom w:val="single" w:sz="4" w:space="0" w:color="979991"/>
                    <w:right w:val="single" w:sz="4" w:space="0" w:color="979991"/>
                  </w:tcBorders>
                  <w:shd w:val="clear" w:color="000000" w:fill="4472C4"/>
                  <w:vAlign w:val="center"/>
                  <w:hideMark/>
                </w:tcPr>
                <w:p w14:paraId="1F89C3F7" w14:textId="77777777" w:rsidR="00C91AAE" w:rsidRPr="00C91AAE" w:rsidRDefault="00C91AAE" w:rsidP="00C91AAE">
                  <w:pPr>
                    <w:rPr>
                      <w:rFonts w:cstheme="minorHAnsi"/>
                      <w:b/>
                      <w:bCs/>
                      <w:szCs w:val="24"/>
                    </w:rPr>
                  </w:pPr>
                  <w:r w:rsidRPr="00C91AAE">
                    <w:rPr>
                      <w:rFonts w:cstheme="minorHAnsi"/>
                      <w:b/>
                      <w:bCs/>
                      <w:szCs w:val="24"/>
                    </w:rPr>
                    <w:t>Male %</w:t>
                  </w:r>
                </w:p>
              </w:tc>
            </w:tr>
            <w:tr w:rsidR="00C91AAE" w:rsidRPr="00C91AAE" w14:paraId="7640338E" w14:textId="77777777" w:rsidTr="003352D5">
              <w:trPr>
                <w:trHeight w:val="431"/>
              </w:trPr>
              <w:tc>
                <w:tcPr>
                  <w:tcW w:w="1418" w:type="dxa"/>
                  <w:tcBorders>
                    <w:top w:val="single" w:sz="4" w:space="0" w:color="979991"/>
                    <w:left w:val="single" w:sz="4" w:space="0" w:color="979991"/>
                    <w:bottom w:val="single" w:sz="4" w:space="0" w:color="979991"/>
                    <w:right w:val="nil"/>
                  </w:tcBorders>
                  <w:shd w:val="clear" w:color="000000" w:fill="4472C4"/>
                  <w:hideMark/>
                </w:tcPr>
                <w:p w14:paraId="532750A6" w14:textId="77777777" w:rsidR="00C91AAE" w:rsidRPr="00C91AAE" w:rsidRDefault="00C91AAE" w:rsidP="00C91AAE">
                  <w:pPr>
                    <w:rPr>
                      <w:rFonts w:cstheme="minorHAnsi"/>
                      <w:b/>
                      <w:bCs/>
                      <w:szCs w:val="24"/>
                    </w:rPr>
                  </w:pPr>
                  <w:r w:rsidRPr="00C91AAE">
                    <w:rPr>
                      <w:rFonts w:cstheme="minorHAnsi"/>
                      <w:b/>
                      <w:bCs/>
                      <w:szCs w:val="24"/>
                    </w:rPr>
                    <w:t>0-25%</w:t>
                  </w:r>
                </w:p>
              </w:tc>
              <w:tc>
                <w:tcPr>
                  <w:tcW w:w="2126" w:type="dxa"/>
                  <w:tcBorders>
                    <w:top w:val="nil"/>
                    <w:left w:val="single" w:sz="4" w:space="0" w:color="979991"/>
                    <w:bottom w:val="single" w:sz="4" w:space="0" w:color="979991"/>
                    <w:right w:val="nil"/>
                  </w:tcBorders>
                  <w:shd w:val="clear" w:color="000000" w:fill="FFFFFF"/>
                  <w:vAlign w:val="center"/>
                  <w:hideMark/>
                </w:tcPr>
                <w:p w14:paraId="264DCE7E" w14:textId="77777777" w:rsidR="00C91AAE" w:rsidRPr="00C91AAE" w:rsidRDefault="00C91AAE" w:rsidP="00C91AAE">
                  <w:pPr>
                    <w:rPr>
                      <w:rFonts w:cstheme="minorHAnsi"/>
                      <w:b/>
                      <w:bCs/>
                      <w:szCs w:val="24"/>
                    </w:rPr>
                  </w:pPr>
                  <w:r w:rsidRPr="00C91AAE">
                    <w:rPr>
                      <w:rFonts w:cstheme="minorHAnsi"/>
                      <w:b/>
                      <w:bCs/>
                      <w:szCs w:val="24"/>
                    </w:rPr>
                    <w:t>409</w:t>
                  </w:r>
                </w:p>
              </w:tc>
              <w:tc>
                <w:tcPr>
                  <w:tcW w:w="1559" w:type="dxa"/>
                  <w:tcBorders>
                    <w:top w:val="nil"/>
                    <w:left w:val="single" w:sz="4" w:space="0" w:color="979991"/>
                    <w:bottom w:val="single" w:sz="4" w:space="0" w:color="979991"/>
                    <w:right w:val="nil"/>
                  </w:tcBorders>
                  <w:shd w:val="clear" w:color="000000" w:fill="FFFFFF"/>
                  <w:vAlign w:val="center"/>
                  <w:hideMark/>
                </w:tcPr>
                <w:p w14:paraId="11F78E9E" w14:textId="77777777" w:rsidR="00C91AAE" w:rsidRPr="00C91AAE" w:rsidRDefault="00C91AAE" w:rsidP="00C91AAE">
                  <w:pPr>
                    <w:rPr>
                      <w:rFonts w:cstheme="minorHAnsi"/>
                      <w:b/>
                      <w:bCs/>
                      <w:szCs w:val="24"/>
                    </w:rPr>
                  </w:pPr>
                  <w:r w:rsidRPr="00C91AAE">
                    <w:rPr>
                      <w:rFonts w:cstheme="minorHAnsi"/>
                      <w:b/>
                      <w:bCs/>
                      <w:szCs w:val="24"/>
                    </w:rPr>
                    <w:t>167</w:t>
                  </w:r>
                </w:p>
              </w:tc>
              <w:tc>
                <w:tcPr>
                  <w:tcW w:w="1701" w:type="dxa"/>
                  <w:tcBorders>
                    <w:top w:val="nil"/>
                    <w:left w:val="single" w:sz="4" w:space="0" w:color="979991"/>
                    <w:bottom w:val="single" w:sz="4" w:space="0" w:color="979991"/>
                    <w:right w:val="nil"/>
                  </w:tcBorders>
                  <w:shd w:val="clear" w:color="000000" w:fill="FFFFFF"/>
                  <w:vAlign w:val="center"/>
                  <w:hideMark/>
                </w:tcPr>
                <w:p w14:paraId="61270AE1" w14:textId="77777777" w:rsidR="00C91AAE" w:rsidRPr="00C91AAE" w:rsidRDefault="00C91AAE" w:rsidP="00C91AAE">
                  <w:pPr>
                    <w:rPr>
                      <w:rFonts w:cstheme="minorHAnsi"/>
                      <w:b/>
                      <w:bCs/>
                      <w:szCs w:val="24"/>
                    </w:rPr>
                  </w:pPr>
                  <w:r w:rsidRPr="00C91AAE">
                    <w:rPr>
                      <w:rFonts w:cstheme="minorHAnsi"/>
                      <w:b/>
                      <w:bCs/>
                      <w:szCs w:val="24"/>
                    </w:rPr>
                    <w:t>71.01%</w:t>
                  </w:r>
                </w:p>
              </w:tc>
              <w:tc>
                <w:tcPr>
                  <w:tcW w:w="1701" w:type="dxa"/>
                  <w:tcBorders>
                    <w:top w:val="nil"/>
                    <w:left w:val="single" w:sz="4" w:space="0" w:color="979991"/>
                    <w:bottom w:val="single" w:sz="4" w:space="0" w:color="979991"/>
                    <w:right w:val="single" w:sz="4" w:space="0" w:color="979991"/>
                  </w:tcBorders>
                  <w:shd w:val="clear" w:color="000000" w:fill="FFFFFF"/>
                  <w:vAlign w:val="center"/>
                  <w:hideMark/>
                </w:tcPr>
                <w:p w14:paraId="31D93E85" w14:textId="77777777" w:rsidR="00C91AAE" w:rsidRPr="00C91AAE" w:rsidRDefault="00C91AAE" w:rsidP="00C91AAE">
                  <w:pPr>
                    <w:rPr>
                      <w:rFonts w:cstheme="minorHAnsi"/>
                      <w:b/>
                      <w:bCs/>
                      <w:szCs w:val="24"/>
                    </w:rPr>
                  </w:pPr>
                  <w:r w:rsidRPr="00C91AAE">
                    <w:rPr>
                      <w:rFonts w:cstheme="minorHAnsi"/>
                      <w:b/>
                      <w:bCs/>
                      <w:szCs w:val="24"/>
                    </w:rPr>
                    <w:t>28.99%</w:t>
                  </w:r>
                </w:p>
              </w:tc>
            </w:tr>
            <w:tr w:rsidR="00C91AAE" w:rsidRPr="00C91AAE" w14:paraId="4B3D8AB0" w14:textId="77777777" w:rsidTr="003352D5">
              <w:trPr>
                <w:trHeight w:val="431"/>
              </w:trPr>
              <w:tc>
                <w:tcPr>
                  <w:tcW w:w="1418" w:type="dxa"/>
                  <w:tcBorders>
                    <w:top w:val="nil"/>
                    <w:left w:val="single" w:sz="4" w:space="0" w:color="979991"/>
                    <w:bottom w:val="single" w:sz="4" w:space="0" w:color="979991"/>
                    <w:right w:val="nil"/>
                  </w:tcBorders>
                  <w:shd w:val="clear" w:color="000000" w:fill="4472C4"/>
                  <w:hideMark/>
                </w:tcPr>
                <w:p w14:paraId="1806B41E" w14:textId="77777777" w:rsidR="00C91AAE" w:rsidRPr="00C91AAE" w:rsidRDefault="00C91AAE" w:rsidP="00C91AAE">
                  <w:pPr>
                    <w:rPr>
                      <w:rFonts w:cstheme="minorHAnsi"/>
                      <w:b/>
                      <w:bCs/>
                      <w:szCs w:val="24"/>
                    </w:rPr>
                  </w:pPr>
                  <w:r w:rsidRPr="00C91AAE">
                    <w:rPr>
                      <w:rFonts w:cstheme="minorHAnsi"/>
                      <w:b/>
                      <w:bCs/>
                      <w:szCs w:val="24"/>
                    </w:rPr>
                    <w:t>25%-50%</w:t>
                  </w:r>
                </w:p>
              </w:tc>
              <w:tc>
                <w:tcPr>
                  <w:tcW w:w="2126" w:type="dxa"/>
                  <w:tcBorders>
                    <w:top w:val="nil"/>
                    <w:left w:val="single" w:sz="4" w:space="0" w:color="979991"/>
                    <w:bottom w:val="single" w:sz="4" w:space="0" w:color="979991"/>
                    <w:right w:val="nil"/>
                  </w:tcBorders>
                  <w:shd w:val="clear" w:color="000000" w:fill="FFFFFF"/>
                  <w:vAlign w:val="center"/>
                  <w:hideMark/>
                </w:tcPr>
                <w:p w14:paraId="54389B2B" w14:textId="77777777" w:rsidR="00C91AAE" w:rsidRPr="00C91AAE" w:rsidRDefault="00C91AAE" w:rsidP="00C91AAE">
                  <w:pPr>
                    <w:rPr>
                      <w:rFonts w:cstheme="minorHAnsi"/>
                      <w:b/>
                      <w:bCs/>
                      <w:szCs w:val="24"/>
                    </w:rPr>
                  </w:pPr>
                  <w:r w:rsidRPr="00C91AAE">
                    <w:rPr>
                      <w:rFonts w:cstheme="minorHAnsi"/>
                      <w:b/>
                      <w:bCs/>
                      <w:szCs w:val="24"/>
                    </w:rPr>
                    <w:t>441</w:t>
                  </w:r>
                </w:p>
              </w:tc>
              <w:tc>
                <w:tcPr>
                  <w:tcW w:w="1559" w:type="dxa"/>
                  <w:tcBorders>
                    <w:top w:val="nil"/>
                    <w:left w:val="single" w:sz="4" w:space="0" w:color="979991"/>
                    <w:bottom w:val="single" w:sz="4" w:space="0" w:color="979991"/>
                    <w:right w:val="nil"/>
                  </w:tcBorders>
                  <w:shd w:val="clear" w:color="000000" w:fill="FFFFFF"/>
                  <w:vAlign w:val="center"/>
                  <w:hideMark/>
                </w:tcPr>
                <w:p w14:paraId="1AA5AA46" w14:textId="77777777" w:rsidR="00C91AAE" w:rsidRPr="00C91AAE" w:rsidRDefault="00C91AAE" w:rsidP="00C91AAE">
                  <w:pPr>
                    <w:rPr>
                      <w:rFonts w:cstheme="minorHAnsi"/>
                      <w:b/>
                      <w:bCs/>
                      <w:szCs w:val="24"/>
                    </w:rPr>
                  </w:pPr>
                  <w:r w:rsidRPr="00C91AAE">
                    <w:rPr>
                      <w:rFonts w:cstheme="minorHAnsi"/>
                      <w:b/>
                      <w:bCs/>
                      <w:szCs w:val="24"/>
                    </w:rPr>
                    <w:t>177</w:t>
                  </w:r>
                </w:p>
              </w:tc>
              <w:tc>
                <w:tcPr>
                  <w:tcW w:w="1701" w:type="dxa"/>
                  <w:tcBorders>
                    <w:top w:val="nil"/>
                    <w:left w:val="single" w:sz="4" w:space="0" w:color="979991"/>
                    <w:bottom w:val="single" w:sz="4" w:space="0" w:color="979991"/>
                    <w:right w:val="nil"/>
                  </w:tcBorders>
                  <w:shd w:val="clear" w:color="000000" w:fill="FFFFFF"/>
                  <w:vAlign w:val="center"/>
                  <w:hideMark/>
                </w:tcPr>
                <w:p w14:paraId="6081F740" w14:textId="77777777" w:rsidR="00C91AAE" w:rsidRPr="00C91AAE" w:rsidRDefault="00C91AAE" w:rsidP="00C91AAE">
                  <w:pPr>
                    <w:rPr>
                      <w:rFonts w:cstheme="minorHAnsi"/>
                      <w:b/>
                      <w:bCs/>
                      <w:szCs w:val="24"/>
                    </w:rPr>
                  </w:pPr>
                  <w:r w:rsidRPr="00C91AAE">
                    <w:rPr>
                      <w:rFonts w:cstheme="minorHAnsi"/>
                      <w:b/>
                      <w:bCs/>
                      <w:szCs w:val="24"/>
                    </w:rPr>
                    <w:t>71.36%</w:t>
                  </w:r>
                </w:p>
              </w:tc>
              <w:tc>
                <w:tcPr>
                  <w:tcW w:w="1701" w:type="dxa"/>
                  <w:tcBorders>
                    <w:top w:val="nil"/>
                    <w:left w:val="single" w:sz="4" w:space="0" w:color="979991"/>
                    <w:bottom w:val="single" w:sz="4" w:space="0" w:color="979991"/>
                    <w:right w:val="single" w:sz="4" w:space="0" w:color="979991"/>
                  </w:tcBorders>
                  <w:shd w:val="clear" w:color="000000" w:fill="FFFFFF"/>
                  <w:vAlign w:val="center"/>
                  <w:hideMark/>
                </w:tcPr>
                <w:p w14:paraId="74F73873" w14:textId="77777777" w:rsidR="00C91AAE" w:rsidRPr="00C91AAE" w:rsidRDefault="00C91AAE" w:rsidP="00C91AAE">
                  <w:pPr>
                    <w:rPr>
                      <w:rFonts w:cstheme="minorHAnsi"/>
                      <w:b/>
                      <w:bCs/>
                      <w:szCs w:val="24"/>
                    </w:rPr>
                  </w:pPr>
                  <w:r w:rsidRPr="00C91AAE">
                    <w:rPr>
                      <w:rFonts w:cstheme="minorHAnsi"/>
                      <w:b/>
                      <w:bCs/>
                      <w:szCs w:val="24"/>
                    </w:rPr>
                    <w:t>28.64%</w:t>
                  </w:r>
                </w:p>
              </w:tc>
            </w:tr>
            <w:tr w:rsidR="00C91AAE" w:rsidRPr="00C91AAE" w14:paraId="1CD29B83" w14:textId="77777777" w:rsidTr="003352D5">
              <w:trPr>
                <w:trHeight w:val="431"/>
              </w:trPr>
              <w:tc>
                <w:tcPr>
                  <w:tcW w:w="1418" w:type="dxa"/>
                  <w:tcBorders>
                    <w:top w:val="nil"/>
                    <w:left w:val="single" w:sz="4" w:space="0" w:color="979991"/>
                    <w:bottom w:val="single" w:sz="4" w:space="0" w:color="979991"/>
                    <w:right w:val="nil"/>
                  </w:tcBorders>
                  <w:shd w:val="clear" w:color="000000" w:fill="4472C4"/>
                  <w:hideMark/>
                </w:tcPr>
                <w:p w14:paraId="12FE65F8" w14:textId="77777777" w:rsidR="00C91AAE" w:rsidRPr="00C91AAE" w:rsidRDefault="00C91AAE" w:rsidP="00C91AAE">
                  <w:pPr>
                    <w:rPr>
                      <w:rFonts w:cstheme="minorHAnsi"/>
                      <w:b/>
                      <w:bCs/>
                      <w:szCs w:val="24"/>
                    </w:rPr>
                  </w:pPr>
                  <w:r w:rsidRPr="00C91AAE">
                    <w:rPr>
                      <w:rFonts w:cstheme="minorHAnsi"/>
                      <w:b/>
                      <w:bCs/>
                      <w:szCs w:val="24"/>
                    </w:rPr>
                    <w:t>50%-75%</w:t>
                  </w:r>
                </w:p>
              </w:tc>
              <w:tc>
                <w:tcPr>
                  <w:tcW w:w="2126" w:type="dxa"/>
                  <w:tcBorders>
                    <w:top w:val="nil"/>
                    <w:left w:val="single" w:sz="4" w:space="0" w:color="979991"/>
                    <w:bottom w:val="single" w:sz="4" w:space="0" w:color="979991"/>
                    <w:right w:val="nil"/>
                  </w:tcBorders>
                  <w:shd w:val="clear" w:color="000000" w:fill="FFFFFF"/>
                  <w:vAlign w:val="center"/>
                  <w:hideMark/>
                </w:tcPr>
                <w:p w14:paraId="449AA160" w14:textId="77777777" w:rsidR="00C91AAE" w:rsidRPr="00C91AAE" w:rsidRDefault="00C91AAE" w:rsidP="00C91AAE">
                  <w:pPr>
                    <w:rPr>
                      <w:rFonts w:cstheme="minorHAnsi"/>
                      <w:b/>
                      <w:bCs/>
                      <w:szCs w:val="24"/>
                    </w:rPr>
                  </w:pPr>
                  <w:r w:rsidRPr="00C91AAE">
                    <w:rPr>
                      <w:rFonts w:cstheme="minorHAnsi"/>
                      <w:b/>
                      <w:bCs/>
                      <w:szCs w:val="24"/>
                    </w:rPr>
                    <w:t>494</w:t>
                  </w:r>
                </w:p>
              </w:tc>
              <w:tc>
                <w:tcPr>
                  <w:tcW w:w="1559" w:type="dxa"/>
                  <w:tcBorders>
                    <w:top w:val="nil"/>
                    <w:left w:val="single" w:sz="4" w:space="0" w:color="979991"/>
                    <w:bottom w:val="single" w:sz="4" w:space="0" w:color="979991"/>
                    <w:right w:val="nil"/>
                  </w:tcBorders>
                  <w:shd w:val="clear" w:color="000000" w:fill="FFFFFF"/>
                  <w:vAlign w:val="center"/>
                  <w:hideMark/>
                </w:tcPr>
                <w:p w14:paraId="7B2DC83F" w14:textId="77777777" w:rsidR="00C91AAE" w:rsidRPr="00C91AAE" w:rsidRDefault="00C91AAE" w:rsidP="00C91AAE">
                  <w:pPr>
                    <w:rPr>
                      <w:rFonts w:cstheme="minorHAnsi"/>
                      <w:b/>
                      <w:bCs/>
                      <w:szCs w:val="24"/>
                    </w:rPr>
                  </w:pPr>
                  <w:r w:rsidRPr="00C91AAE">
                    <w:rPr>
                      <w:rFonts w:cstheme="minorHAnsi"/>
                      <w:b/>
                      <w:bCs/>
                      <w:szCs w:val="24"/>
                    </w:rPr>
                    <w:t>166</w:t>
                  </w:r>
                </w:p>
              </w:tc>
              <w:tc>
                <w:tcPr>
                  <w:tcW w:w="1701" w:type="dxa"/>
                  <w:tcBorders>
                    <w:top w:val="nil"/>
                    <w:left w:val="single" w:sz="4" w:space="0" w:color="979991"/>
                    <w:bottom w:val="single" w:sz="4" w:space="0" w:color="979991"/>
                    <w:right w:val="nil"/>
                  </w:tcBorders>
                  <w:shd w:val="clear" w:color="000000" w:fill="FFFFFF"/>
                  <w:vAlign w:val="center"/>
                  <w:hideMark/>
                </w:tcPr>
                <w:p w14:paraId="26681A11" w14:textId="77777777" w:rsidR="00C91AAE" w:rsidRPr="00C91AAE" w:rsidRDefault="00C91AAE" w:rsidP="00C91AAE">
                  <w:pPr>
                    <w:rPr>
                      <w:rFonts w:cstheme="minorHAnsi"/>
                      <w:b/>
                      <w:bCs/>
                      <w:szCs w:val="24"/>
                    </w:rPr>
                  </w:pPr>
                  <w:r w:rsidRPr="00C91AAE">
                    <w:rPr>
                      <w:rFonts w:cstheme="minorHAnsi"/>
                      <w:b/>
                      <w:bCs/>
                      <w:szCs w:val="24"/>
                    </w:rPr>
                    <w:t>74.85%</w:t>
                  </w:r>
                </w:p>
              </w:tc>
              <w:tc>
                <w:tcPr>
                  <w:tcW w:w="1701" w:type="dxa"/>
                  <w:tcBorders>
                    <w:top w:val="nil"/>
                    <w:left w:val="single" w:sz="4" w:space="0" w:color="979991"/>
                    <w:bottom w:val="single" w:sz="4" w:space="0" w:color="979991"/>
                    <w:right w:val="single" w:sz="4" w:space="0" w:color="979991"/>
                  </w:tcBorders>
                  <w:shd w:val="clear" w:color="000000" w:fill="FFFFFF"/>
                  <w:vAlign w:val="center"/>
                  <w:hideMark/>
                </w:tcPr>
                <w:p w14:paraId="02BCB75A" w14:textId="77777777" w:rsidR="00C91AAE" w:rsidRPr="00C91AAE" w:rsidRDefault="00C91AAE" w:rsidP="00C91AAE">
                  <w:pPr>
                    <w:rPr>
                      <w:rFonts w:cstheme="minorHAnsi"/>
                      <w:b/>
                      <w:bCs/>
                      <w:szCs w:val="24"/>
                    </w:rPr>
                  </w:pPr>
                  <w:r w:rsidRPr="00C91AAE">
                    <w:rPr>
                      <w:rFonts w:cstheme="minorHAnsi"/>
                      <w:b/>
                      <w:bCs/>
                      <w:szCs w:val="24"/>
                    </w:rPr>
                    <w:t>25.15%</w:t>
                  </w:r>
                </w:p>
              </w:tc>
            </w:tr>
            <w:tr w:rsidR="00C91AAE" w:rsidRPr="00C91AAE" w14:paraId="1C49C56A" w14:textId="77777777" w:rsidTr="003352D5">
              <w:trPr>
                <w:trHeight w:val="431"/>
              </w:trPr>
              <w:tc>
                <w:tcPr>
                  <w:tcW w:w="1418" w:type="dxa"/>
                  <w:tcBorders>
                    <w:top w:val="nil"/>
                    <w:left w:val="single" w:sz="4" w:space="0" w:color="979991"/>
                    <w:bottom w:val="single" w:sz="4" w:space="0" w:color="979991"/>
                    <w:right w:val="nil"/>
                  </w:tcBorders>
                  <w:shd w:val="clear" w:color="000000" w:fill="4472C4"/>
                  <w:hideMark/>
                </w:tcPr>
                <w:p w14:paraId="56A4C3B0" w14:textId="77777777" w:rsidR="00C91AAE" w:rsidRPr="00C91AAE" w:rsidRDefault="00C91AAE" w:rsidP="00C91AAE">
                  <w:pPr>
                    <w:rPr>
                      <w:rFonts w:cstheme="minorHAnsi"/>
                      <w:b/>
                      <w:bCs/>
                      <w:szCs w:val="24"/>
                    </w:rPr>
                  </w:pPr>
                  <w:r w:rsidRPr="00C91AAE">
                    <w:rPr>
                      <w:rFonts w:cstheme="minorHAnsi"/>
                      <w:b/>
                      <w:bCs/>
                      <w:szCs w:val="24"/>
                    </w:rPr>
                    <w:t>75%-100%</w:t>
                  </w:r>
                </w:p>
              </w:tc>
              <w:tc>
                <w:tcPr>
                  <w:tcW w:w="2126" w:type="dxa"/>
                  <w:tcBorders>
                    <w:top w:val="nil"/>
                    <w:left w:val="single" w:sz="4" w:space="0" w:color="979991"/>
                    <w:bottom w:val="single" w:sz="4" w:space="0" w:color="979991"/>
                    <w:right w:val="nil"/>
                  </w:tcBorders>
                  <w:shd w:val="clear" w:color="000000" w:fill="FFFFFF"/>
                  <w:vAlign w:val="center"/>
                  <w:hideMark/>
                </w:tcPr>
                <w:p w14:paraId="09F41247" w14:textId="77777777" w:rsidR="00C91AAE" w:rsidRPr="00C91AAE" w:rsidRDefault="00C91AAE" w:rsidP="00C91AAE">
                  <w:pPr>
                    <w:rPr>
                      <w:rFonts w:cstheme="minorHAnsi"/>
                      <w:b/>
                      <w:bCs/>
                      <w:szCs w:val="24"/>
                    </w:rPr>
                  </w:pPr>
                  <w:r w:rsidRPr="00C91AAE">
                    <w:rPr>
                      <w:rFonts w:cstheme="minorHAnsi"/>
                      <w:b/>
                      <w:bCs/>
                      <w:szCs w:val="24"/>
                    </w:rPr>
                    <w:t>311</w:t>
                  </w:r>
                </w:p>
              </w:tc>
              <w:tc>
                <w:tcPr>
                  <w:tcW w:w="1559" w:type="dxa"/>
                  <w:tcBorders>
                    <w:top w:val="nil"/>
                    <w:left w:val="single" w:sz="4" w:space="0" w:color="979991"/>
                    <w:bottom w:val="single" w:sz="4" w:space="0" w:color="979991"/>
                    <w:right w:val="nil"/>
                  </w:tcBorders>
                  <w:shd w:val="clear" w:color="000000" w:fill="FFFFFF"/>
                  <w:vAlign w:val="center"/>
                  <w:hideMark/>
                </w:tcPr>
                <w:p w14:paraId="736DF160" w14:textId="77777777" w:rsidR="00C91AAE" w:rsidRPr="00C91AAE" w:rsidRDefault="00C91AAE" w:rsidP="00C91AAE">
                  <w:pPr>
                    <w:rPr>
                      <w:rFonts w:cstheme="minorHAnsi"/>
                      <w:b/>
                      <w:bCs/>
                      <w:szCs w:val="24"/>
                    </w:rPr>
                  </w:pPr>
                  <w:r w:rsidRPr="00C91AAE">
                    <w:rPr>
                      <w:rFonts w:cstheme="minorHAnsi"/>
                      <w:b/>
                      <w:bCs/>
                      <w:szCs w:val="24"/>
                    </w:rPr>
                    <w:t>307</w:t>
                  </w:r>
                </w:p>
              </w:tc>
              <w:tc>
                <w:tcPr>
                  <w:tcW w:w="1701" w:type="dxa"/>
                  <w:tcBorders>
                    <w:top w:val="nil"/>
                    <w:left w:val="single" w:sz="4" w:space="0" w:color="979991"/>
                    <w:bottom w:val="single" w:sz="4" w:space="0" w:color="979991"/>
                    <w:right w:val="nil"/>
                  </w:tcBorders>
                  <w:shd w:val="clear" w:color="000000" w:fill="FFFFFF"/>
                  <w:vAlign w:val="center"/>
                  <w:hideMark/>
                </w:tcPr>
                <w:p w14:paraId="5BD1E9EF" w14:textId="77777777" w:rsidR="00C91AAE" w:rsidRPr="00C91AAE" w:rsidRDefault="00C91AAE" w:rsidP="00C91AAE">
                  <w:pPr>
                    <w:rPr>
                      <w:rFonts w:cstheme="minorHAnsi"/>
                      <w:b/>
                      <w:bCs/>
                      <w:szCs w:val="24"/>
                    </w:rPr>
                  </w:pPr>
                  <w:r w:rsidRPr="00C91AAE">
                    <w:rPr>
                      <w:rFonts w:cstheme="minorHAnsi"/>
                      <w:b/>
                      <w:bCs/>
                      <w:szCs w:val="24"/>
                    </w:rPr>
                    <w:t>50.32%</w:t>
                  </w:r>
                </w:p>
              </w:tc>
              <w:tc>
                <w:tcPr>
                  <w:tcW w:w="1701" w:type="dxa"/>
                  <w:tcBorders>
                    <w:top w:val="nil"/>
                    <w:left w:val="single" w:sz="4" w:space="0" w:color="979991"/>
                    <w:bottom w:val="single" w:sz="4" w:space="0" w:color="979991"/>
                    <w:right w:val="single" w:sz="4" w:space="0" w:color="979991"/>
                  </w:tcBorders>
                  <w:shd w:val="clear" w:color="000000" w:fill="FFFFFF"/>
                  <w:vAlign w:val="center"/>
                  <w:hideMark/>
                </w:tcPr>
                <w:p w14:paraId="1F084B9F" w14:textId="77777777" w:rsidR="00C91AAE" w:rsidRPr="00C91AAE" w:rsidRDefault="00C91AAE" w:rsidP="00C91AAE">
                  <w:pPr>
                    <w:rPr>
                      <w:rFonts w:cstheme="minorHAnsi"/>
                      <w:b/>
                      <w:bCs/>
                      <w:szCs w:val="24"/>
                    </w:rPr>
                  </w:pPr>
                  <w:r w:rsidRPr="00C91AAE">
                    <w:rPr>
                      <w:rFonts w:cstheme="minorHAnsi"/>
                      <w:b/>
                      <w:bCs/>
                      <w:szCs w:val="24"/>
                    </w:rPr>
                    <w:t>49.68%</w:t>
                  </w:r>
                </w:p>
              </w:tc>
            </w:tr>
          </w:tbl>
          <w:p w14:paraId="55274541" w14:textId="77777777" w:rsidR="00C91AAE" w:rsidRPr="00C91AAE" w:rsidRDefault="00C91AAE" w:rsidP="00C91AAE">
            <w:pPr>
              <w:rPr>
                <w:rFonts w:cstheme="minorHAnsi"/>
                <w:b/>
                <w:bCs/>
                <w:szCs w:val="24"/>
                <w:lang w:val="en-US"/>
              </w:rPr>
            </w:pPr>
            <w:r w:rsidRPr="00C91AAE">
              <w:rPr>
                <w:rFonts w:cstheme="minorHAnsi"/>
                <w:b/>
                <w:bCs/>
                <w:szCs w:val="24"/>
                <w:lang w:val="en-US"/>
              </w:rPr>
              <w:t>Table 5: Gender by Pay Quartile</w:t>
            </w:r>
          </w:p>
          <w:p w14:paraId="5E98AEF8" w14:textId="77777777" w:rsidR="00C91AAE" w:rsidRPr="00C91AAE" w:rsidRDefault="00C91AAE" w:rsidP="00C91AAE">
            <w:pPr>
              <w:rPr>
                <w:rFonts w:cstheme="minorHAnsi"/>
                <w:b/>
                <w:bCs/>
                <w:szCs w:val="24"/>
              </w:rPr>
            </w:pPr>
          </w:p>
          <w:p w14:paraId="227D5090" w14:textId="77777777" w:rsidR="00C91AAE" w:rsidRPr="00C91AAE" w:rsidRDefault="00C91AAE" w:rsidP="00C91AAE">
            <w:pPr>
              <w:numPr>
                <w:ilvl w:val="0"/>
                <w:numId w:val="14"/>
              </w:numPr>
              <w:rPr>
                <w:rFonts w:cstheme="minorHAnsi"/>
                <w:b/>
                <w:bCs/>
                <w:szCs w:val="24"/>
                <w:lang w:val="en-US"/>
              </w:rPr>
            </w:pPr>
            <w:r w:rsidRPr="00C91AAE">
              <w:rPr>
                <w:rFonts w:cstheme="minorHAnsi"/>
                <w:b/>
                <w:bCs/>
                <w:szCs w:val="24"/>
                <w:lang w:val="en-US"/>
              </w:rPr>
              <w:t>Medical vs. Non-Medical Gender Pay Gap (2024)</w:t>
            </w:r>
          </w:p>
          <w:p w14:paraId="594E6781" w14:textId="77777777" w:rsidR="00C91AAE" w:rsidRPr="00C91AAE" w:rsidRDefault="00C91AAE" w:rsidP="00C91AAE">
            <w:pPr>
              <w:numPr>
                <w:ilvl w:val="1"/>
                <w:numId w:val="14"/>
              </w:numPr>
              <w:rPr>
                <w:rFonts w:cstheme="minorHAnsi"/>
                <w:szCs w:val="24"/>
                <w:lang w:val="en-US"/>
              </w:rPr>
            </w:pPr>
            <w:r w:rsidRPr="00C91AAE">
              <w:rPr>
                <w:rFonts w:cstheme="minorHAnsi"/>
                <w:szCs w:val="24"/>
                <w:lang w:val="en-US"/>
              </w:rPr>
              <w:t xml:space="preserve">When considering the data on a more granular level, </w:t>
            </w:r>
            <w:proofErr w:type="gramStart"/>
            <w:r w:rsidRPr="00C91AAE">
              <w:rPr>
                <w:rFonts w:cstheme="minorHAnsi"/>
                <w:szCs w:val="24"/>
                <w:lang w:val="en-US"/>
              </w:rPr>
              <w:t>it is clear that the</w:t>
            </w:r>
            <w:proofErr w:type="gramEnd"/>
            <w:r w:rsidRPr="00C91AAE">
              <w:rPr>
                <w:rFonts w:cstheme="minorHAnsi"/>
                <w:szCs w:val="24"/>
                <w:lang w:val="en-US"/>
              </w:rPr>
              <w:t xml:space="preserve"> main driver of the gender pay gap at MEH is the difference our consultant workforce makes on pay across the organisation.</w:t>
            </w:r>
          </w:p>
          <w:p w14:paraId="2FE5B281" w14:textId="77777777" w:rsidR="00C91AAE" w:rsidRPr="00C91AAE" w:rsidRDefault="00C91AAE" w:rsidP="00C91AAE">
            <w:pPr>
              <w:rPr>
                <w:rFonts w:cstheme="minorHAnsi"/>
                <w:szCs w:val="24"/>
                <w:lang w:val="en-US"/>
              </w:rPr>
            </w:pPr>
          </w:p>
          <w:tbl>
            <w:tblPr>
              <w:tblW w:w="10310" w:type="dxa"/>
              <w:tblInd w:w="137" w:type="dxa"/>
              <w:tblLook w:val="04A0" w:firstRow="1" w:lastRow="0" w:firstColumn="1" w:lastColumn="0" w:noHBand="0" w:noVBand="1"/>
            </w:tblPr>
            <w:tblGrid>
              <w:gridCol w:w="2690"/>
              <w:gridCol w:w="1419"/>
              <w:gridCol w:w="1547"/>
              <w:gridCol w:w="992"/>
              <w:gridCol w:w="934"/>
              <w:gridCol w:w="1023"/>
              <w:gridCol w:w="1096"/>
            </w:tblGrid>
            <w:tr w:rsidR="00C91AAE" w:rsidRPr="00C91AAE" w14:paraId="1A5BF2AE" w14:textId="77777777" w:rsidTr="003352D5">
              <w:trPr>
                <w:trHeight w:val="299"/>
              </w:trPr>
              <w:tc>
                <w:tcPr>
                  <w:tcW w:w="2875" w:type="dxa"/>
                  <w:vMerge w:val="restart"/>
                  <w:tcBorders>
                    <w:top w:val="single" w:sz="4" w:space="0" w:color="auto"/>
                    <w:left w:val="single" w:sz="4" w:space="0" w:color="auto"/>
                    <w:bottom w:val="single" w:sz="4" w:space="0" w:color="auto"/>
                    <w:right w:val="single" w:sz="4" w:space="0" w:color="auto"/>
                  </w:tcBorders>
                  <w:shd w:val="clear" w:color="D9E1F2" w:fill="D9E1F2"/>
                  <w:vAlign w:val="bottom"/>
                  <w:hideMark/>
                </w:tcPr>
                <w:p w14:paraId="19FDD542" w14:textId="77777777" w:rsidR="00C91AAE" w:rsidRPr="00C91AAE" w:rsidRDefault="00C91AAE" w:rsidP="00C91AAE">
                  <w:pPr>
                    <w:rPr>
                      <w:rFonts w:cstheme="minorHAnsi"/>
                      <w:b/>
                      <w:bCs/>
                      <w:szCs w:val="24"/>
                    </w:rPr>
                  </w:pPr>
                  <w:r w:rsidRPr="00C91AAE">
                    <w:rPr>
                      <w:rFonts w:cstheme="minorHAnsi"/>
                      <w:b/>
                      <w:bCs/>
                      <w:szCs w:val="24"/>
                    </w:rPr>
                    <w:t>Band Groupings</w:t>
                  </w:r>
                </w:p>
              </w:tc>
              <w:tc>
                <w:tcPr>
                  <w:tcW w:w="3154" w:type="dxa"/>
                  <w:gridSpan w:val="2"/>
                  <w:tcBorders>
                    <w:top w:val="single" w:sz="4" w:space="0" w:color="auto"/>
                    <w:left w:val="nil"/>
                    <w:bottom w:val="single" w:sz="4" w:space="0" w:color="auto"/>
                    <w:right w:val="single" w:sz="4" w:space="0" w:color="auto"/>
                  </w:tcBorders>
                  <w:shd w:val="clear" w:color="D9E1F2" w:fill="D9E1F2"/>
                  <w:noWrap/>
                  <w:vAlign w:val="bottom"/>
                  <w:hideMark/>
                </w:tcPr>
                <w:p w14:paraId="39EB0903" w14:textId="77777777" w:rsidR="00C91AAE" w:rsidRPr="00C91AAE" w:rsidRDefault="00C91AAE" w:rsidP="00C91AAE">
                  <w:pPr>
                    <w:rPr>
                      <w:rFonts w:cstheme="minorHAnsi"/>
                      <w:b/>
                      <w:bCs/>
                      <w:szCs w:val="24"/>
                    </w:rPr>
                  </w:pPr>
                  <w:r w:rsidRPr="00C91AAE">
                    <w:rPr>
                      <w:rFonts w:cstheme="minorHAnsi"/>
                      <w:b/>
                      <w:bCs/>
                      <w:szCs w:val="24"/>
                    </w:rPr>
                    <w:t>Female</w:t>
                  </w:r>
                </w:p>
              </w:tc>
              <w:tc>
                <w:tcPr>
                  <w:tcW w:w="2037" w:type="dxa"/>
                  <w:gridSpan w:val="2"/>
                  <w:tcBorders>
                    <w:top w:val="single" w:sz="4" w:space="0" w:color="auto"/>
                    <w:left w:val="nil"/>
                    <w:bottom w:val="single" w:sz="4" w:space="0" w:color="auto"/>
                    <w:right w:val="single" w:sz="4" w:space="0" w:color="auto"/>
                  </w:tcBorders>
                  <w:shd w:val="clear" w:color="D9E1F2" w:fill="D9E1F2"/>
                  <w:noWrap/>
                  <w:vAlign w:val="bottom"/>
                  <w:hideMark/>
                </w:tcPr>
                <w:p w14:paraId="08C58F3C" w14:textId="77777777" w:rsidR="00C91AAE" w:rsidRPr="00C91AAE" w:rsidRDefault="00C91AAE" w:rsidP="00C91AAE">
                  <w:pPr>
                    <w:rPr>
                      <w:rFonts w:cstheme="minorHAnsi"/>
                      <w:b/>
                      <w:bCs/>
                      <w:szCs w:val="24"/>
                    </w:rPr>
                  </w:pPr>
                  <w:r w:rsidRPr="00C91AAE">
                    <w:rPr>
                      <w:rFonts w:cstheme="minorHAnsi"/>
                      <w:b/>
                      <w:bCs/>
                      <w:szCs w:val="24"/>
                    </w:rPr>
                    <w:t>Male</w:t>
                  </w:r>
                </w:p>
              </w:tc>
              <w:tc>
                <w:tcPr>
                  <w:tcW w:w="2244" w:type="dxa"/>
                  <w:gridSpan w:val="2"/>
                  <w:tcBorders>
                    <w:top w:val="single" w:sz="4" w:space="0" w:color="auto"/>
                    <w:left w:val="nil"/>
                    <w:bottom w:val="single" w:sz="4" w:space="0" w:color="auto"/>
                    <w:right w:val="single" w:sz="4" w:space="0" w:color="auto"/>
                  </w:tcBorders>
                  <w:shd w:val="clear" w:color="D9E1F2" w:fill="D9E1F2"/>
                  <w:noWrap/>
                  <w:vAlign w:val="bottom"/>
                  <w:hideMark/>
                </w:tcPr>
                <w:p w14:paraId="1E14ADCA" w14:textId="77777777" w:rsidR="00C91AAE" w:rsidRPr="00C91AAE" w:rsidRDefault="00C91AAE" w:rsidP="00C91AAE">
                  <w:pPr>
                    <w:rPr>
                      <w:rFonts w:cstheme="minorHAnsi"/>
                      <w:b/>
                      <w:bCs/>
                      <w:szCs w:val="24"/>
                    </w:rPr>
                  </w:pPr>
                  <w:r w:rsidRPr="00C91AAE">
                    <w:rPr>
                      <w:rFonts w:cstheme="minorHAnsi"/>
                      <w:b/>
                      <w:bCs/>
                      <w:szCs w:val="24"/>
                    </w:rPr>
                    <w:t>GPG</w:t>
                  </w:r>
                </w:p>
              </w:tc>
            </w:tr>
            <w:tr w:rsidR="00C91AAE" w:rsidRPr="00C91AAE" w14:paraId="01B987AC" w14:textId="77777777" w:rsidTr="003352D5">
              <w:trPr>
                <w:trHeight w:val="599"/>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5479BDF3" w14:textId="77777777" w:rsidR="00C91AAE" w:rsidRPr="00C91AAE" w:rsidRDefault="00C91AAE" w:rsidP="00C91AAE">
                  <w:pPr>
                    <w:rPr>
                      <w:rFonts w:cstheme="minorHAnsi"/>
                      <w:b/>
                      <w:bCs/>
                      <w:szCs w:val="24"/>
                    </w:rPr>
                  </w:pPr>
                </w:p>
              </w:tc>
              <w:tc>
                <w:tcPr>
                  <w:tcW w:w="1508" w:type="dxa"/>
                  <w:tcBorders>
                    <w:top w:val="nil"/>
                    <w:left w:val="nil"/>
                    <w:bottom w:val="single" w:sz="4" w:space="0" w:color="auto"/>
                    <w:right w:val="single" w:sz="4" w:space="0" w:color="auto"/>
                  </w:tcBorders>
                  <w:shd w:val="clear" w:color="D9E1F2" w:fill="D9E1F2"/>
                  <w:vAlign w:val="bottom"/>
                  <w:hideMark/>
                </w:tcPr>
                <w:p w14:paraId="5D78EAB8" w14:textId="77777777" w:rsidR="00C91AAE" w:rsidRPr="00C91AAE" w:rsidRDefault="00C91AAE" w:rsidP="00C91AAE">
                  <w:pPr>
                    <w:rPr>
                      <w:rFonts w:cstheme="minorHAnsi"/>
                      <w:b/>
                      <w:bCs/>
                      <w:szCs w:val="24"/>
                    </w:rPr>
                  </w:pPr>
                  <w:r w:rsidRPr="00C91AAE">
                    <w:rPr>
                      <w:rFonts w:cstheme="minorHAnsi"/>
                      <w:b/>
                      <w:bCs/>
                      <w:szCs w:val="24"/>
                    </w:rPr>
                    <w:t>Mean Hrly Rate</w:t>
                  </w:r>
                </w:p>
              </w:tc>
              <w:tc>
                <w:tcPr>
                  <w:tcW w:w="1646" w:type="dxa"/>
                  <w:tcBorders>
                    <w:top w:val="nil"/>
                    <w:left w:val="nil"/>
                    <w:bottom w:val="single" w:sz="4" w:space="0" w:color="auto"/>
                    <w:right w:val="single" w:sz="4" w:space="0" w:color="auto"/>
                  </w:tcBorders>
                  <w:shd w:val="clear" w:color="D9E1F2" w:fill="D9E1F2"/>
                  <w:vAlign w:val="bottom"/>
                  <w:hideMark/>
                </w:tcPr>
                <w:p w14:paraId="02D16DB6" w14:textId="77777777" w:rsidR="00C91AAE" w:rsidRPr="00C91AAE" w:rsidRDefault="00C91AAE" w:rsidP="00C91AAE">
                  <w:pPr>
                    <w:rPr>
                      <w:rFonts w:cstheme="minorHAnsi"/>
                      <w:b/>
                      <w:bCs/>
                      <w:szCs w:val="24"/>
                    </w:rPr>
                  </w:pPr>
                  <w:r w:rsidRPr="00C91AAE">
                    <w:rPr>
                      <w:rFonts w:cstheme="minorHAnsi"/>
                      <w:b/>
                      <w:bCs/>
                      <w:szCs w:val="24"/>
                    </w:rPr>
                    <w:t>Median Hrly Rate</w:t>
                  </w:r>
                </w:p>
              </w:tc>
              <w:tc>
                <w:tcPr>
                  <w:tcW w:w="1050" w:type="dxa"/>
                  <w:tcBorders>
                    <w:top w:val="nil"/>
                    <w:left w:val="nil"/>
                    <w:bottom w:val="single" w:sz="4" w:space="0" w:color="auto"/>
                    <w:right w:val="single" w:sz="4" w:space="0" w:color="auto"/>
                  </w:tcBorders>
                  <w:shd w:val="clear" w:color="D9E1F2" w:fill="D9E1F2"/>
                  <w:vAlign w:val="bottom"/>
                  <w:hideMark/>
                </w:tcPr>
                <w:p w14:paraId="376AA2EE" w14:textId="77777777" w:rsidR="00C91AAE" w:rsidRPr="00C91AAE" w:rsidRDefault="00C91AAE" w:rsidP="00C91AAE">
                  <w:pPr>
                    <w:rPr>
                      <w:rFonts w:cstheme="minorHAnsi"/>
                      <w:b/>
                      <w:bCs/>
                      <w:szCs w:val="24"/>
                    </w:rPr>
                  </w:pPr>
                  <w:r w:rsidRPr="00C91AAE">
                    <w:rPr>
                      <w:rFonts w:cstheme="minorHAnsi"/>
                      <w:b/>
                      <w:bCs/>
                      <w:szCs w:val="24"/>
                    </w:rPr>
                    <w:t>Mean Hrly Rate</w:t>
                  </w:r>
                </w:p>
              </w:tc>
              <w:tc>
                <w:tcPr>
                  <w:tcW w:w="987" w:type="dxa"/>
                  <w:tcBorders>
                    <w:top w:val="nil"/>
                    <w:left w:val="nil"/>
                    <w:bottom w:val="single" w:sz="4" w:space="0" w:color="auto"/>
                    <w:right w:val="single" w:sz="4" w:space="0" w:color="auto"/>
                  </w:tcBorders>
                  <w:shd w:val="clear" w:color="D9E1F2" w:fill="D9E1F2"/>
                  <w:vAlign w:val="bottom"/>
                  <w:hideMark/>
                </w:tcPr>
                <w:p w14:paraId="10F946B4" w14:textId="77777777" w:rsidR="00C91AAE" w:rsidRPr="00C91AAE" w:rsidRDefault="00C91AAE" w:rsidP="00C91AAE">
                  <w:pPr>
                    <w:rPr>
                      <w:rFonts w:cstheme="minorHAnsi"/>
                      <w:b/>
                      <w:bCs/>
                      <w:szCs w:val="24"/>
                    </w:rPr>
                  </w:pPr>
                  <w:r w:rsidRPr="00C91AAE">
                    <w:rPr>
                      <w:rFonts w:cstheme="minorHAnsi"/>
                      <w:b/>
                      <w:bCs/>
                      <w:szCs w:val="24"/>
                    </w:rPr>
                    <w:t>Median Hrly Rate</w:t>
                  </w:r>
                </w:p>
              </w:tc>
              <w:tc>
                <w:tcPr>
                  <w:tcW w:w="1083" w:type="dxa"/>
                  <w:tcBorders>
                    <w:top w:val="nil"/>
                    <w:left w:val="nil"/>
                    <w:bottom w:val="single" w:sz="4" w:space="0" w:color="auto"/>
                    <w:right w:val="single" w:sz="4" w:space="0" w:color="auto"/>
                  </w:tcBorders>
                  <w:shd w:val="clear" w:color="D9E1F2" w:fill="D9E1F2"/>
                  <w:vAlign w:val="bottom"/>
                  <w:hideMark/>
                </w:tcPr>
                <w:p w14:paraId="461A2163" w14:textId="77777777" w:rsidR="00C91AAE" w:rsidRPr="00C91AAE" w:rsidRDefault="00C91AAE" w:rsidP="00C91AAE">
                  <w:pPr>
                    <w:rPr>
                      <w:rFonts w:cstheme="minorHAnsi"/>
                      <w:b/>
                      <w:bCs/>
                      <w:szCs w:val="24"/>
                    </w:rPr>
                  </w:pPr>
                  <w:r w:rsidRPr="00C91AAE">
                    <w:rPr>
                      <w:rFonts w:cstheme="minorHAnsi"/>
                      <w:b/>
                      <w:bCs/>
                      <w:szCs w:val="24"/>
                    </w:rPr>
                    <w:t>Mean GPG</w:t>
                  </w:r>
                </w:p>
              </w:tc>
              <w:tc>
                <w:tcPr>
                  <w:tcW w:w="1161" w:type="dxa"/>
                  <w:tcBorders>
                    <w:top w:val="nil"/>
                    <w:left w:val="nil"/>
                    <w:bottom w:val="single" w:sz="4" w:space="0" w:color="auto"/>
                    <w:right w:val="single" w:sz="4" w:space="0" w:color="auto"/>
                  </w:tcBorders>
                  <w:shd w:val="clear" w:color="D9E1F2" w:fill="D9E1F2"/>
                  <w:vAlign w:val="bottom"/>
                  <w:hideMark/>
                </w:tcPr>
                <w:p w14:paraId="737F9D11" w14:textId="77777777" w:rsidR="00C91AAE" w:rsidRPr="00C91AAE" w:rsidRDefault="00C91AAE" w:rsidP="00C91AAE">
                  <w:pPr>
                    <w:rPr>
                      <w:rFonts w:cstheme="minorHAnsi"/>
                      <w:b/>
                      <w:bCs/>
                      <w:szCs w:val="24"/>
                    </w:rPr>
                  </w:pPr>
                  <w:r w:rsidRPr="00C91AAE">
                    <w:rPr>
                      <w:rFonts w:cstheme="minorHAnsi"/>
                      <w:b/>
                      <w:bCs/>
                      <w:szCs w:val="24"/>
                    </w:rPr>
                    <w:t>Median GPG</w:t>
                  </w:r>
                </w:p>
              </w:tc>
            </w:tr>
            <w:tr w:rsidR="00C91AAE" w:rsidRPr="00C91AAE" w14:paraId="0C4B597D" w14:textId="77777777" w:rsidTr="003352D5">
              <w:trPr>
                <w:trHeight w:val="299"/>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45967394" w14:textId="77777777" w:rsidR="00C91AAE" w:rsidRPr="00C91AAE" w:rsidRDefault="00C91AAE" w:rsidP="00C91AAE">
                  <w:pPr>
                    <w:rPr>
                      <w:rFonts w:cstheme="minorHAnsi"/>
                      <w:b/>
                      <w:bCs/>
                      <w:szCs w:val="24"/>
                    </w:rPr>
                  </w:pPr>
                  <w:r w:rsidRPr="00C91AAE">
                    <w:rPr>
                      <w:rFonts w:cstheme="minorHAnsi"/>
                      <w:b/>
                      <w:bCs/>
                      <w:szCs w:val="24"/>
                    </w:rPr>
                    <w:t>Band 1-4</w:t>
                  </w:r>
                </w:p>
              </w:tc>
              <w:tc>
                <w:tcPr>
                  <w:tcW w:w="1508" w:type="dxa"/>
                  <w:tcBorders>
                    <w:top w:val="nil"/>
                    <w:left w:val="nil"/>
                    <w:bottom w:val="single" w:sz="4" w:space="0" w:color="auto"/>
                    <w:right w:val="single" w:sz="4" w:space="0" w:color="auto"/>
                  </w:tcBorders>
                  <w:shd w:val="clear" w:color="auto" w:fill="auto"/>
                  <w:noWrap/>
                  <w:vAlign w:val="bottom"/>
                  <w:hideMark/>
                </w:tcPr>
                <w:p w14:paraId="37DCC10C" w14:textId="77777777" w:rsidR="00C91AAE" w:rsidRPr="00C91AAE" w:rsidRDefault="00C91AAE" w:rsidP="00C91AAE">
                  <w:pPr>
                    <w:rPr>
                      <w:rFonts w:cstheme="minorHAnsi"/>
                      <w:b/>
                      <w:bCs/>
                      <w:szCs w:val="24"/>
                    </w:rPr>
                  </w:pPr>
                  <w:r w:rsidRPr="00C91AAE">
                    <w:rPr>
                      <w:rFonts w:cstheme="minorHAnsi"/>
                      <w:b/>
                      <w:bCs/>
                      <w:szCs w:val="24"/>
                    </w:rPr>
                    <w:t xml:space="preserve"> £           15.12 </w:t>
                  </w:r>
                </w:p>
              </w:tc>
              <w:tc>
                <w:tcPr>
                  <w:tcW w:w="1646" w:type="dxa"/>
                  <w:tcBorders>
                    <w:top w:val="nil"/>
                    <w:left w:val="nil"/>
                    <w:bottom w:val="single" w:sz="4" w:space="0" w:color="auto"/>
                    <w:right w:val="single" w:sz="4" w:space="0" w:color="auto"/>
                  </w:tcBorders>
                  <w:shd w:val="clear" w:color="auto" w:fill="auto"/>
                  <w:noWrap/>
                  <w:vAlign w:val="bottom"/>
                  <w:hideMark/>
                </w:tcPr>
                <w:p w14:paraId="2AE6B065" w14:textId="77777777" w:rsidR="00C91AAE" w:rsidRPr="00C91AAE" w:rsidRDefault="00C91AAE" w:rsidP="00C91AAE">
                  <w:pPr>
                    <w:rPr>
                      <w:rFonts w:cstheme="minorHAnsi"/>
                      <w:b/>
                      <w:bCs/>
                      <w:szCs w:val="24"/>
                    </w:rPr>
                  </w:pPr>
                  <w:r w:rsidRPr="00C91AAE">
                    <w:rPr>
                      <w:rFonts w:cstheme="minorHAnsi"/>
                      <w:b/>
                      <w:bCs/>
                      <w:szCs w:val="24"/>
                    </w:rPr>
                    <w:t xml:space="preserve"> £         15.07 </w:t>
                  </w:r>
                </w:p>
              </w:tc>
              <w:tc>
                <w:tcPr>
                  <w:tcW w:w="1050" w:type="dxa"/>
                  <w:tcBorders>
                    <w:top w:val="nil"/>
                    <w:left w:val="nil"/>
                    <w:bottom w:val="single" w:sz="4" w:space="0" w:color="auto"/>
                    <w:right w:val="single" w:sz="4" w:space="0" w:color="auto"/>
                  </w:tcBorders>
                  <w:shd w:val="clear" w:color="auto" w:fill="auto"/>
                  <w:noWrap/>
                  <w:vAlign w:val="bottom"/>
                  <w:hideMark/>
                </w:tcPr>
                <w:p w14:paraId="6F09CDA8" w14:textId="77777777" w:rsidR="00C91AAE" w:rsidRPr="00C91AAE" w:rsidRDefault="00C91AAE" w:rsidP="00C91AAE">
                  <w:pPr>
                    <w:rPr>
                      <w:rFonts w:cstheme="minorHAnsi"/>
                      <w:b/>
                      <w:bCs/>
                      <w:szCs w:val="24"/>
                    </w:rPr>
                  </w:pPr>
                  <w:r w:rsidRPr="00C91AAE">
                    <w:rPr>
                      <w:rFonts w:cstheme="minorHAnsi"/>
                      <w:b/>
                      <w:bCs/>
                      <w:szCs w:val="24"/>
                    </w:rPr>
                    <w:t xml:space="preserve"> £    15.02 </w:t>
                  </w:r>
                </w:p>
              </w:tc>
              <w:tc>
                <w:tcPr>
                  <w:tcW w:w="987" w:type="dxa"/>
                  <w:tcBorders>
                    <w:top w:val="nil"/>
                    <w:left w:val="nil"/>
                    <w:bottom w:val="single" w:sz="4" w:space="0" w:color="auto"/>
                    <w:right w:val="single" w:sz="4" w:space="0" w:color="auto"/>
                  </w:tcBorders>
                  <w:shd w:val="clear" w:color="auto" w:fill="auto"/>
                  <w:noWrap/>
                  <w:vAlign w:val="bottom"/>
                  <w:hideMark/>
                </w:tcPr>
                <w:p w14:paraId="6623A45C" w14:textId="77777777" w:rsidR="00C91AAE" w:rsidRPr="00C91AAE" w:rsidRDefault="00C91AAE" w:rsidP="00C91AAE">
                  <w:pPr>
                    <w:rPr>
                      <w:rFonts w:cstheme="minorHAnsi"/>
                      <w:b/>
                      <w:bCs/>
                      <w:szCs w:val="24"/>
                    </w:rPr>
                  </w:pPr>
                  <w:r w:rsidRPr="00C91AAE">
                    <w:rPr>
                      <w:rFonts w:cstheme="minorHAnsi"/>
                      <w:b/>
                      <w:bCs/>
                      <w:szCs w:val="24"/>
                    </w:rPr>
                    <w:t xml:space="preserve"> £    15.07 </w:t>
                  </w:r>
                </w:p>
              </w:tc>
              <w:tc>
                <w:tcPr>
                  <w:tcW w:w="1083" w:type="dxa"/>
                  <w:tcBorders>
                    <w:top w:val="nil"/>
                    <w:left w:val="nil"/>
                    <w:bottom w:val="single" w:sz="4" w:space="0" w:color="auto"/>
                    <w:right w:val="single" w:sz="4" w:space="0" w:color="auto"/>
                  </w:tcBorders>
                  <w:shd w:val="clear" w:color="auto" w:fill="auto"/>
                  <w:noWrap/>
                  <w:vAlign w:val="bottom"/>
                  <w:hideMark/>
                </w:tcPr>
                <w:p w14:paraId="006540DB" w14:textId="77777777" w:rsidR="00C91AAE" w:rsidRPr="00C91AAE" w:rsidRDefault="00C91AAE" w:rsidP="00C91AAE">
                  <w:pPr>
                    <w:rPr>
                      <w:rFonts w:cstheme="minorHAnsi"/>
                      <w:b/>
                      <w:bCs/>
                      <w:szCs w:val="24"/>
                    </w:rPr>
                  </w:pPr>
                  <w:r w:rsidRPr="00C91AAE">
                    <w:rPr>
                      <w:rFonts w:cstheme="minorHAnsi"/>
                      <w:b/>
                      <w:bCs/>
                      <w:szCs w:val="24"/>
                    </w:rPr>
                    <w:t>-0.64%</w:t>
                  </w:r>
                </w:p>
              </w:tc>
              <w:tc>
                <w:tcPr>
                  <w:tcW w:w="1161" w:type="dxa"/>
                  <w:tcBorders>
                    <w:top w:val="nil"/>
                    <w:left w:val="nil"/>
                    <w:bottom w:val="single" w:sz="4" w:space="0" w:color="auto"/>
                    <w:right w:val="single" w:sz="4" w:space="0" w:color="auto"/>
                  </w:tcBorders>
                  <w:shd w:val="clear" w:color="auto" w:fill="auto"/>
                  <w:noWrap/>
                  <w:vAlign w:val="bottom"/>
                  <w:hideMark/>
                </w:tcPr>
                <w:p w14:paraId="4775C675" w14:textId="77777777" w:rsidR="00C91AAE" w:rsidRPr="00C91AAE" w:rsidRDefault="00C91AAE" w:rsidP="00C91AAE">
                  <w:pPr>
                    <w:rPr>
                      <w:rFonts w:cstheme="minorHAnsi"/>
                      <w:b/>
                      <w:bCs/>
                      <w:szCs w:val="24"/>
                    </w:rPr>
                  </w:pPr>
                  <w:r w:rsidRPr="00C91AAE">
                    <w:rPr>
                      <w:rFonts w:cstheme="minorHAnsi"/>
                      <w:b/>
                      <w:bCs/>
                      <w:szCs w:val="24"/>
                    </w:rPr>
                    <w:t>0.00%</w:t>
                  </w:r>
                </w:p>
              </w:tc>
            </w:tr>
            <w:tr w:rsidR="00C91AAE" w:rsidRPr="00C91AAE" w14:paraId="33D4A036" w14:textId="77777777" w:rsidTr="003352D5">
              <w:trPr>
                <w:trHeight w:val="299"/>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41B4D040" w14:textId="77777777" w:rsidR="00C91AAE" w:rsidRPr="00C91AAE" w:rsidRDefault="00C91AAE" w:rsidP="00C91AAE">
                  <w:pPr>
                    <w:rPr>
                      <w:rFonts w:cstheme="minorHAnsi"/>
                      <w:b/>
                      <w:bCs/>
                      <w:szCs w:val="24"/>
                    </w:rPr>
                  </w:pPr>
                  <w:r w:rsidRPr="00C91AAE">
                    <w:rPr>
                      <w:rFonts w:cstheme="minorHAnsi"/>
                      <w:b/>
                      <w:bCs/>
                      <w:szCs w:val="24"/>
                    </w:rPr>
                    <w:t>Band 5-7</w:t>
                  </w:r>
                </w:p>
              </w:tc>
              <w:tc>
                <w:tcPr>
                  <w:tcW w:w="1508" w:type="dxa"/>
                  <w:tcBorders>
                    <w:top w:val="nil"/>
                    <w:left w:val="nil"/>
                    <w:bottom w:val="single" w:sz="4" w:space="0" w:color="auto"/>
                    <w:right w:val="single" w:sz="4" w:space="0" w:color="auto"/>
                  </w:tcBorders>
                  <w:shd w:val="clear" w:color="auto" w:fill="auto"/>
                  <w:noWrap/>
                  <w:vAlign w:val="bottom"/>
                  <w:hideMark/>
                </w:tcPr>
                <w:p w14:paraId="50A5F7CC" w14:textId="77777777" w:rsidR="00C91AAE" w:rsidRPr="00C91AAE" w:rsidRDefault="00C91AAE" w:rsidP="00C91AAE">
                  <w:pPr>
                    <w:rPr>
                      <w:rFonts w:cstheme="minorHAnsi"/>
                      <w:b/>
                      <w:bCs/>
                      <w:szCs w:val="24"/>
                    </w:rPr>
                  </w:pPr>
                  <w:r w:rsidRPr="00C91AAE">
                    <w:rPr>
                      <w:rFonts w:cstheme="minorHAnsi"/>
                      <w:b/>
                      <w:bCs/>
                      <w:szCs w:val="24"/>
                    </w:rPr>
                    <w:t xml:space="preserve"> £           23.74 </w:t>
                  </w:r>
                </w:p>
              </w:tc>
              <w:tc>
                <w:tcPr>
                  <w:tcW w:w="1646" w:type="dxa"/>
                  <w:tcBorders>
                    <w:top w:val="nil"/>
                    <w:left w:val="nil"/>
                    <w:bottom w:val="single" w:sz="4" w:space="0" w:color="auto"/>
                    <w:right w:val="single" w:sz="4" w:space="0" w:color="auto"/>
                  </w:tcBorders>
                  <w:shd w:val="clear" w:color="auto" w:fill="auto"/>
                  <w:noWrap/>
                  <w:vAlign w:val="bottom"/>
                  <w:hideMark/>
                </w:tcPr>
                <w:p w14:paraId="0A203111" w14:textId="77777777" w:rsidR="00C91AAE" w:rsidRPr="00C91AAE" w:rsidRDefault="00C91AAE" w:rsidP="00C91AAE">
                  <w:pPr>
                    <w:rPr>
                      <w:rFonts w:cstheme="minorHAnsi"/>
                      <w:b/>
                      <w:bCs/>
                      <w:szCs w:val="24"/>
                    </w:rPr>
                  </w:pPr>
                  <w:r w:rsidRPr="00C91AAE">
                    <w:rPr>
                      <w:rFonts w:cstheme="minorHAnsi"/>
                      <w:b/>
                      <w:bCs/>
                      <w:szCs w:val="24"/>
                    </w:rPr>
                    <w:t xml:space="preserve"> £         22.92 </w:t>
                  </w:r>
                </w:p>
              </w:tc>
              <w:tc>
                <w:tcPr>
                  <w:tcW w:w="1050" w:type="dxa"/>
                  <w:tcBorders>
                    <w:top w:val="nil"/>
                    <w:left w:val="nil"/>
                    <w:bottom w:val="single" w:sz="4" w:space="0" w:color="auto"/>
                    <w:right w:val="single" w:sz="4" w:space="0" w:color="auto"/>
                  </w:tcBorders>
                  <w:shd w:val="clear" w:color="auto" w:fill="auto"/>
                  <w:noWrap/>
                  <w:vAlign w:val="bottom"/>
                  <w:hideMark/>
                </w:tcPr>
                <w:p w14:paraId="1007187E" w14:textId="77777777" w:rsidR="00C91AAE" w:rsidRPr="00C91AAE" w:rsidRDefault="00C91AAE" w:rsidP="00C91AAE">
                  <w:pPr>
                    <w:rPr>
                      <w:rFonts w:cstheme="minorHAnsi"/>
                      <w:b/>
                      <w:bCs/>
                      <w:szCs w:val="24"/>
                    </w:rPr>
                  </w:pPr>
                  <w:r w:rsidRPr="00C91AAE">
                    <w:rPr>
                      <w:rFonts w:cstheme="minorHAnsi"/>
                      <w:b/>
                      <w:bCs/>
                      <w:szCs w:val="24"/>
                    </w:rPr>
                    <w:t xml:space="preserve"> £    24.16 </w:t>
                  </w:r>
                </w:p>
              </w:tc>
              <w:tc>
                <w:tcPr>
                  <w:tcW w:w="987" w:type="dxa"/>
                  <w:tcBorders>
                    <w:top w:val="nil"/>
                    <w:left w:val="nil"/>
                    <w:bottom w:val="single" w:sz="4" w:space="0" w:color="auto"/>
                    <w:right w:val="single" w:sz="4" w:space="0" w:color="auto"/>
                  </w:tcBorders>
                  <w:shd w:val="clear" w:color="auto" w:fill="auto"/>
                  <w:noWrap/>
                  <w:vAlign w:val="bottom"/>
                  <w:hideMark/>
                </w:tcPr>
                <w:p w14:paraId="7B435FE7" w14:textId="77777777" w:rsidR="00C91AAE" w:rsidRPr="00C91AAE" w:rsidRDefault="00C91AAE" w:rsidP="00C91AAE">
                  <w:pPr>
                    <w:rPr>
                      <w:rFonts w:cstheme="minorHAnsi"/>
                      <w:b/>
                      <w:bCs/>
                      <w:szCs w:val="24"/>
                    </w:rPr>
                  </w:pPr>
                  <w:r w:rsidRPr="00C91AAE">
                    <w:rPr>
                      <w:rFonts w:cstheme="minorHAnsi"/>
                      <w:b/>
                      <w:bCs/>
                      <w:szCs w:val="24"/>
                    </w:rPr>
                    <w:t xml:space="preserve"> £    25.44 </w:t>
                  </w:r>
                </w:p>
              </w:tc>
              <w:tc>
                <w:tcPr>
                  <w:tcW w:w="1083" w:type="dxa"/>
                  <w:tcBorders>
                    <w:top w:val="nil"/>
                    <w:left w:val="nil"/>
                    <w:bottom w:val="single" w:sz="4" w:space="0" w:color="auto"/>
                    <w:right w:val="single" w:sz="4" w:space="0" w:color="auto"/>
                  </w:tcBorders>
                  <w:shd w:val="clear" w:color="auto" w:fill="auto"/>
                  <w:noWrap/>
                  <w:vAlign w:val="bottom"/>
                  <w:hideMark/>
                </w:tcPr>
                <w:p w14:paraId="62C321B8" w14:textId="77777777" w:rsidR="00C91AAE" w:rsidRPr="00C91AAE" w:rsidRDefault="00C91AAE" w:rsidP="00C91AAE">
                  <w:pPr>
                    <w:rPr>
                      <w:rFonts w:cstheme="minorHAnsi"/>
                      <w:b/>
                      <w:bCs/>
                      <w:szCs w:val="24"/>
                    </w:rPr>
                  </w:pPr>
                  <w:r w:rsidRPr="00C91AAE">
                    <w:rPr>
                      <w:rFonts w:cstheme="minorHAnsi"/>
                      <w:b/>
                      <w:bCs/>
                      <w:szCs w:val="24"/>
                    </w:rPr>
                    <w:t>1.70%</w:t>
                  </w:r>
                </w:p>
              </w:tc>
              <w:tc>
                <w:tcPr>
                  <w:tcW w:w="1161" w:type="dxa"/>
                  <w:tcBorders>
                    <w:top w:val="nil"/>
                    <w:left w:val="nil"/>
                    <w:bottom w:val="single" w:sz="4" w:space="0" w:color="auto"/>
                    <w:right w:val="single" w:sz="4" w:space="0" w:color="auto"/>
                  </w:tcBorders>
                  <w:shd w:val="clear" w:color="auto" w:fill="auto"/>
                  <w:noWrap/>
                  <w:vAlign w:val="bottom"/>
                  <w:hideMark/>
                </w:tcPr>
                <w:p w14:paraId="72F172F9" w14:textId="77777777" w:rsidR="00C91AAE" w:rsidRPr="00C91AAE" w:rsidRDefault="00C91AAE" w:rsidP="00C91AAE">
                  <w:pPr>
                    <w:rPr>
                      <w:rFonts w:cstheme="minorHAnsi"/>
                      <w:b/>
                      <w:bCs/>
                      <w:szCs w:val="24"/>
                    </w:rPr>
                  </w:pPr>
                  <w:r w:rsidRPr="00C91AAE">
                    <w:rPr>
                      <w:rFonts w:cstheme="minorHAnsi"/>
                      <w:b/>
                      <w:bCs/>
                      <w:szCs w:val="24"/>
                    </w:rPr>
                    <w:t>9.90%</w:t>
                  </w:r>
                </w:p>
              </w:tc>
            </w:tr>
            <w:tr w:rsidR="00C91AAE" w:rsidRPr="00C91AAE" w14:paraId="5D300B7F" w14:textId="77777777" w:rsidTr="003352D5">
              <w:trPr>
                <w:trHeight w:val="299"/>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14:paraId="7F1304DD" w14:textId="77777777" w:rsidR="00C91AAE" w:rsidRPr="00C91AAE" w:rsidRDefault="00C91AAE" w:rsidP="00C91AAE">
                  <w:pPr>
                    <w:rPr>
                      <w:rFonts w:cstheme="minorHAnsi"/>
                      <w:b/>
                      <w:bCs/>
                      <w:szCs w:val="24"/>
                    </w:rPr>
                  </w:pPr>
                  <w:r w:rsidRPr="00C91AAE">
                    <w:rPr>
                      <w:rFonts w:cstheme="minorHAnsi"/>
                      <w:b/>
                      <w:bCs/>
                      <w:szCs w:val="24"/>
                    </w:rPr>
                    <w:lastRenderedPageBreak/>
                    <w:t>Bands 8-9</w:t>
                  </w:r>
                </w:p>
              </w:tc>
              <w:tc>
                <w:tcPr>
                  <w:tcW w:w="1508" w:type="dxa"/>
                  <w:tcBorders>
                    <w:top w:val="nil"/>
                    <w:left w:val="nil"/>
                    <w:bottom w:val="single" w:sz="4" w:space="0" w:color="auto"/>
                    <w:right w:val="single" w:sz="4" w:space="0" w:color="auto"/>
                  </w:tcBorders>
                  <w:shd w:val="clear" w:color="auto" w:fill="auto"/>
                  <w:noWrap/>
                  <w:vAlign w:val="bottom"/>
                  <w:hideMark/>
                </w:tcPr>
                <w:p w14:paraId="17AE9CE8" w14:textId="77777777" w:rsidR="00C91AAE" w:rsidRPr="00C91AAE" w:rsidRDefault="00C91AAE" w:rsidP="00C91AAE">
                  <w:pPr>
                    <w:rPr>
                      <w:rFonts w:cstheme="minorHAnsi"/>
                      <w:b/>
                      <w:bCs/>
                      <w:szCs w:val="24"/>
                    </w:rPr>
                  </w:pPr>
                  <w:r w:rsidRPr="00C91AAE">
                    <w:rPr>
                      <w:rFonts w:cstheme="minorHAnsi"/>
                      <w:b/>
                      <w:bCs/>
                      <w:szCs w:val="24"/>
                    </w:rPr>
                    <w:t xml:space="preserve"> £           35.53 </w:t>
                  </w:r>
                </w:p>
              </w:tc>
              <w:tc>
                <w:tcPr>
                  <w:tcW w:w="1646" w:type="dxa"/>
                  <w:tcBorders>
                    <w:top w:val="nil"/>
                    <w:left w:val="nil"/>
                    <w:bottom w:val="single" w:sz="4" w:space="0" w:color="auto"/>
                    <w:right w:val="single" w:sz="4" w:space="0" w:color="auto"/>
                  </w:tcBorders>
                  <w:shd w:val="clear" w:color="auto" w:fill="auto"/>
                  <w:noWrap/>
                  <w:vAlign w:val="bottom"/>
                  <w:hideMark/>
                </w:tcPr>
                <w:p w14:paraId="20C62542" w14:textId="77777777" w:rsidR="00C91AAE" w:rsidRPr="00C91AAE" w:rsidRDefault="00C91AAE" w:rsidP="00C91AAE">
                  <w:pPr>
                    <w:rPr>
                      <w:rFonts w:cstheme="minorHAnsi"/>
                      <w:b/>
                      <w:bCs/>
                      <w:szCs w:val="24"/>
                    </w:rPr>
                  </w:pPr>
                  <w:r w:rsidRPr="00C91AAE">
                    <w:rPr>
                      <w:rFonts w:cstheme="minorHAnsi"/>
                      <w:b/>
                      <w:bCs/>
                      <w:szCs w:val="24"/>
                    </w:rPr>
                    <w:t xml:space="preserve"> £         33.29 </w:t>
                  </w:r>
                </w:p>
              </w:tc>
              <w:tc>
                <w:tcPr>
                  <w:tcW w:w="1050" w:type="dxa"/>
                  <w:tcBorders>
                    <w:top w:val="nil"/>
                    <w:left w:val="nil"/>
                    <w:bottom w:val="single" w:sz="4" w:space="0" w:color="auto"/>
                    <w:right w:val="single" w:sz="4" w:space="0" w:color="auto"/>
                  </w:tcBorders>
                  <w:shd w:val="clear" w:color="auto" w:fill="auto"/>
                  <w:noWrap/>
                  <w:vAlign w:val="bottom"/>
                  <w:hideMark/>
                </w:tcPr>
                <w:p w14:paraId="6C90188F" w14:textId="77777777" w:rsidR="00C91AAE" w:rsidRPr="00C91AAE" w:rsidRDefault="00C91AAE" w:rsidP="00C91AAE">
                  <w:pPr>
                    <w:rPr>
                      <w:rFonts w:cstheme="minorHAnsi"/>
                      <w:b/>
                      <w:bCs/>
                      <w:szCs w:val="24"/>
                    </w:rPr>
                  </w:pPr>
                  <w:r w:rsidRPr="00C91AAE">
                    <w:rPr>
                      <w:rFonts w:cstheme="minorHAnsi"/>
                      <w:b/>
                      <w:bCs/>
                      <w:szCs w:val="24"/>
                    </w:rPr>
                    <w:t xml:space="preserve"> £    39.98 </w:t>
                  </w:r>
                </w:p>
              </w:tc>
              <w:tc>
                <w:tcPr>
                  <w:tcW w:w="987" w:type="dxa"/>
                  <w:tcBorders>
                    <w:top w:val="nil"/>
                    <w:left w:val="nil"/>
                    <w:bottom w:val="single" w:sz="4" w:space="0" w:color="auto"/>
                    <w:right w:val="single" w:sz="4" w:space="0" w:color="auto"/>
                  </w:tcBorders>
                  <w:shd w:val="clear" w:color="auto" w:fill="auto"/>
                  <w:noWrap/>
                  <w:vAlign w:val="bottom"/>
                  <w:hideMark/>
                </w:tcPr>
                <w:p w14:paraId="6F0B2001" w14:textId="77777777" w:rsidR="00C91AAE" w:rsidRPr="00C91AAE" w:rsidRDefault="00C91AAE" w:rsidP="00C91AAE">
                  <w:pPr>
                    <w:rPr>
                      <w:rFonts w:cstheme="minorHAnsi"/>
                      <w:b/>
                      <w:bCs/>
                      <w:szCs w:val="24"/>
                    </w:rPr>
                  </w:pPr>
                  <w:r w:rsidRPr="00C91AAE">
                    <w:rPr>
                      <w:rFonts w:cstheme="minorHAnsi"/>
                      <w:b/>
                      <w:bCs/>
                      <w:szCs w:val="24"/>
                    </w:rPr>
                    <w:t xml:space="preserve"> £    33.56 </w:t>
                  </w:r>
                </w:p>
              </w:tc>
              <w:tc>
                <w:tcPr>
                  <w:tcW w:w="1083" w:type="dxa"/>
                  <w:tcBorders>
                    <w:top w:val="nil"/>
                    <w:left w:val="nil"/>
                    <w:bottom w:val="single" w:sz="4" w:space="0" w:color="auto"/>
                    <w:right w:val="single" w:sz="4" w:space="0" w:color="auto"/>
                  </w:tcBorders>
                  <w:shd w:val="clear" w:color="auto" w:fill="auto"/>
                  <w:noWrap/>
                  <w:vAlign w:val="bottom"/>
                  <w:hideMark/>
                </w:tcPr>
                <w:p w14:paraId="18D7C286" w14:textId="77777777" w:rsidR="00C91AAE" w:rsidRPr="00C91AAE" w:rsidRDefault="00C91AAE" w:rsidP="00C91AAE">
                  <w:pPr>
                    <w:rPr>
                      <w:rFonts w:cstheme="minorHAnsi"/>
                      <w:b/>
                      <w:bCs/>
                      <w:szCs w:val="24"/>
                    </w:rPr>
                  </w:pPr>
                  <w:r w:rsidRPr="00C91AAE">
                    <w:rPr>
                      <w:rFonts w:cstheme="minorHAnsi"/>
                      <w:b/>
                      <w:bCs/>
                      <w:szCs w:val="24"/>
                    </w:rPr>
                    <w:t>11.13%</w:t>
                  </w:r>
                </w:p>
              </w:tc>
              <w:tc>
                <w:tcPr>
                  <w:tcW w:w="1161" w:type="dxa"/>
                  <w:tcBorders>
                    <w:top w:val="nil"/>
                    <w:left w:val="nil"/>
                    <w:bottom w:val="single" w:sz="4" w:space="0" w:color="auto"/>
                    <w:right w:val="single" w:sz="4" w:space="0" w:color="auto"/>
                  </w:tcBorders>
                  <w:shd w:val="clear" w:color="auto" w:fill="auto"/>
                  <w:noWrap/>
                  <w:vAlign w:val="bottom"/>
                  <w:hideMark/>
                </w:tcPr>
                <w:p w14:paraId="284E4168" w14:textId="77777777" w:rsidR="00C91AAE" w:rsidRPr="00C91AAE" w:rsidRDefault="00C91AAE" w:rsidP="00C91AAE">
                  <w:pPr>
                    <w:rPr>
                      <w:rFonts w:cstheme="minorHAnsi"/>
                      <w:b/>
                      <w:bCs/>
                      <w:szCs w:val="24"/>
                    </w:rPr>
                  </w:pPr>
                  <w:r w:rsidRPr="00C91AAE">
                    <w:rPr>
                      <w:rFonts w:cstheme="minorHAnsi"/>
                      <w:b/>
                      <w:bCs/>
                      <w:szCs w:val="24"/>
                    </w:rPr>
                    <w:t>0.80%</w:t>
                  </w:r>
                </w:p>
              </w:tc>
            </w:tr>
            <w:tr w:rsidR="00C91AAE" w:rsidRPr="00C91AAE" w14:paraId="3904CF58" w14:textId="77777777" w:rsidTr="003352D5">
              <w:trPr>
                <w:trHeight w:val="299"/>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1735E360" w14:textId="77777777" w:rsidR="00C91AAE" w:rsidRPr="00C91AAE" w:rsidRDefault="00C91AAE" w:rsidP="00C91AAE">
                  <w:pPr>
                    <w:rPr>
                      <w:rFonts w:cstheme="minorHAnsi"/>
                      <w:b/>
                      <w:bCs/>
                      <w:szCs w:val="24"/>
                    </w:rPr>
                  </w:pPr>
                  <w:r w:rsidRPr="00C91AAE">
                    <w:rPr>
                      <w:rFonts w:cstheme="minorHAnsi"/>
                      <w:b/>
                      <w:bCs/>
                      <w:szCs w:val="24"/>
                    </w:rPr>
                    <w:t>Medical Staffing</w:t>
                  </w:r>
                </w:p>
              </w:tc>
              <w:tc>
                <w:tcPr>
                  <w:tcW w:w="1508" w:type="dxa"/>
                  <w:tcBorders>
                    <w:top w:val="nil"/>
                    <w:left w:val="nil"/>
                    <w:bottom w:val="single" w:sz="4" w:space="0" w:color="auto"/>
                    <w:right w:val="single" w:sz="4" w:space="0" w:color="auto"/>
                  </w:tcBorders>
                  <w:shd w:val="clear" w:color="auto" w:fill="auto"/>
                  <w:noWrap/>
                  <w:vAlign w:val="bottom"/>
                  <w:hideMark/>
                </w:tcPr>
                <w:p w14:paraId="0960A45B" w14:textId="77777777" w:rsidR="00C91AAE" w:rsidRPr="00C91AAE" w:rsidRDefault="00C91AAE" w:rsidP="00C91AAE">
                  <w:pPr>
                    <w:rPr>
                      <w:rFonts w:cstheme="minorHAnsi"/>
                      <w:b/>
                      <w:bCs/>
                      <w:szCs w:val="24"/>
                    </w:rPr>
                  </w:pPr>
                  <w:r w:rsidRPr="00C91AAE">
                    <w:rPr>
                      <w:rFonts w:cstheme="minorHAnsi"/>
                      <w:b/>
                      <w:bCs/>
                      <w:szCs w:val="24"/>
                    </w:rPr>
                    <w:t xml:space="preserve"> £           44.04 </w:t>
                  </w:r>
                </w:p>
              </w:tc>
              <w:tc>
                <w:tcPr>
                  <w:tcW w:w="1646" w:type="dxa"/>
                  <w:tcBorders>
                    <w:top w:val="nil"/>
                    <w:left w:val="nil"/>
                    <w:bottom w:val="single" w:sz="4" w:space="0" w:color="auto"/>
                    <w:right w:val="single" w:sz="4" w:space="0" w:color="auto"/>
                  </w:tcBorders>
                  <w:shd w:val="clear" w:color="auto" w:fill="auto"/>
                  <w:noWrap/>
                  <w:vAlign w:val="bottom"/>
                  <w:hideMark/>
                </w:tcPr>
                <w:p w14:paraId="5B8DFFAA" w14:textId="77777777" w:rsidR="00C91AAE" w:rsidRPr="00C91AAE" w:rsidRDefault="00C91AAE" w:rsidP="00C91AAE">
                  <w:pPr>
                    <w:rPr>
                      <w:rFonts w:cstheme="minorHAnsi"/>
                      <w:b/>
                      <w:bCs/>
                      <w:szCs w:val="24"/>
                    </w:rPr>
                  </w:pPr>
                  <w:r w:rsidRPr="00C91AAE">
                    <w:rPr>
                      <w:rFonts w:cstheme="minorHAnsi"/>
                      <w:b/>
                      <w:bCs/>
                      <w:szCs w:val="24"/>
                    </w:rPr>
                    <w:t xml:space="preserve"> £         44.00 </w:t>
                  </w:r>
                </w:p>
              </w:tc>
              <w:tc>
                <w:tcPr>
                  <w:tcW w:w="1050" w:type="dxa"/>
                  <w:tcBorders>
                    <w:top w:val="nil"/>
                    <w:left w:val="nil"/>
                    <w:bottom w:val="single" w:sz="4" w:space="0" w:color="auto"/>
                    <w:right w:val="single" w:sz="4" w:space="0" w:color="auto"/>
                  </w:tcBorders>
                  <w:shd w:val="clear" w:color="auto" w:fill="auto"/>
                  <w:noWrap/>
                  <w:vAlign w:val="bottom"/>
                  <w:hideMark/>
                </w:tcPr>
                <w:p w14:paraId="7195F6F8" w14:textId="77777777" w:rsidR="00C91AAE" w:rsidRPr="00C91AAE" w:rsidRDefault="00C91AAE" w:rsidP="00C91AAE">
                  <w:pPr>
                    <w:rPr>
                      <w:rFonts w:cstheme="minorHAnsi"/>
                      <w:b/>
                      <w:bCs/>
                      <w:szCs w:val="24"/>
                    </w:rPr>
                  </w:pPr>
                  <w:r w:rsidRPr="00C91AAE">
                    <w:rPr>
                      <w:rFonts w:cstheme="minorHAnsi"/>
                      <w:b/>
                      <w:bCs/>
                      <w:szCs w:val="24"/>
                    </w:rPr>
                    <w:t xml:space="preserve"> £    49.39 </w:t>
                  </w:r>
                </w:p>
              </w:tc>
              <w:tc>
                <w:tcPr>
                  <w:tcW w:w="987" w:type="dxa"/>
                  <w:tcBorders>
                    <w:top w:val="nil"/>
                    <w:left w:val="nil"/>
                    <w:bottom w:val="single" w:sz="4" w:space="0" w:color="auto"/>
                    <w:right w:val="single" w:sz="4" w:space="0" w:color="auto"/>
                  </w:tcBorders>
                  <w:shd w:val="clear" w:color="auto" w:fill="auto"/>
                  <w:noWrap/>
                  <w:vAlign w:val="bottom"/>
                  <w:hideMark/>
                </w:tcPr>
                <w:p w14:paraId="21307C9C" w14:textId="77777777" w:rsidR="00C91AAE" w:rsidRPr="00C91AAE" w:rsidRDefault="00C91AAE" w:rsidP="00C91AAE">
                  <w:pPr>
                    <w:rPr>
                      <w:rFonts w:cstheme="minorHAnsi"/>
                      <w:b/>
                      <w:bCs/>
                      <w:szCs w:val="24"/>
                    </w:rPr>
                  </w:pPr>
                  <w:r w:rsidRPr="00C91AAE">
                    <w:rPr>
                      <w:rFonts w:cstheme="minorHAnsi"/>
                      <w:b/>
                      <w:bCs/>
                      <w:szCs w:val="24"/>
                    </w:rPr>
                    <w:t xml:space="preserve"> £    51.57 </w:t>
                  </w:r>
                </w:p>
              </w:tc>
              <w:tc>
                <w:tcPr>
                  <w:tcW w:w="1083" w:type="dxa"/>
                  <w:tcBorders>
                    <w:top w:val="nil"/>
                    <w:left w:val="nil"/>
                    <w:bottom w:val="single" w:sz="4" w:space="0" w:color="auto"/>
                    <w:right w:val="single" w:sz="4" w:space="0" w:color="auto"/>
                  </w:tcBorders>
                  <w:shd w:val="clear" w:color="auto" w:fill="auto"/>
                  <w:noWrap/>
                  <w:vAlign w:val="bottom"/>
                  <w:hideMark/>
                </w:tcPr>
                <w:p w14:paraId="5C293188" w14:textId="77777777" w:rsidR="00C91AAE" w:rsidRPr="00C91AAE" w:rsidRDefault="00C91AAE" w:rsidP="00C91AAE">
                  <w:pPr>
                    <w:rPr>
                      <w:rFonts w:cstheme="minorHAnsi"/>
                      <w:b/>
                      <w:bCs/>
                      <w:szCs w:val="24"/>
                    </w:rPr>
                  </w:pPr>
                  <w:r w:rsidRPr="00C91AAE">
                    <w:rPr>
                      <w:rFonts w:cstheme="minorHAnsi"/>
                      <w:b/>
                      <w:bCs/>
                      <w:szCs w:val="24"/>
                    </w:rPr>
                    <w:t>10.85%</w:t>
                  </w:r>
                </w:p>
              </w:tc>
              <w:tc>
                <w:tcPr>
                  <w:tcW w:w="1161" w:type="dxa"/>
                  <w:tcBorders>
                    <w:top w:val="nil"/>
                    <w:left w:val="nil"/>
                    <w:bottom w:val="single" w:sz="4" w:space="0" w:color="auto"/>
                    <w:right w:val="single" w:sz="4" w:space="0" w:color="auto"/>
                  </w:tcBorders>
                  <w:shd w:val="clear" w:color="auto" w:fill="auto"/>
                  <w:noWrap/>
                  <w:vAlign w:val="bottom"/>
                  <w:hideMark/>
                </w:tcPr>
                <w:p w14:paraId="335E0579" w14:textId="77777777" w:rsidR="00C91AAE" w:rsidRPr="00C91AAE" w:rsidRDefault="00C91AAE" w:rsidP="00C91AAE">
                  <w:pPr>
                    <w:rPr>
                      <w:rFonts w:cstheme="minorHAnsi"/>
                      <w:b/>
                      <w:bCs/>
                      <w:szCs w:val="24"/>
                    </w:rPr>
                  </w:pPr>
                  <w:r w:rsidRPr="00C91AAE">
                    <w:rPr>
                      <w:rFonts w:cstheme="minorHAnsi"/>
                      <w:b/>
                      <w:bCs/>
                      <w:szCs w:val="24"/>
                    </w:rPr>
                    <w:t>14.67%</w:t>
                  </w:r>
                </w:p>
              </w:tc>
            </w:tr>
          </w:tbl>
          <w:p w14:paraId="135A0555" w14:textId="77777777" w:rsidR="00C91AAE" w:rsidRDefault="00C91AAE" w:rsidP="00C91AAE">
            <w:pPr>
              <w:rPr>
                <w:rFonts w:cstheme="minorHAnsi"/>
                <w:b/>
                <w:bCs/>
                <w:szCs w:val="24"/>
                <w:lang w:val="en-US"/>
              </w:rPr>
            </w:pPr>
            <w:r w:rsidRPr="00C91AAE">
              <w:rPr>
                <w:rFonts w:cstheme="minorHAnsi"/>
                <w:b/>
                <w:bCs/>
                <w:szCs w:val="24"/>
                <w:lang w:val="en-US"/>
              </w:rPr>
              <w:t xml:space="preserve">       Table 6: Medical vs. Non-Medical Gender Pay Gap</w:t>
            </w:r>
          </w:p>
          <w:p w14:paraId="5BD188E7" w14:textId="77777777" w:rsidR="00EA5B3A" w:rsidRPr="00C91AAE" w:rsidRDefault="00EA5B3A" w:rsidP="00C91AAE">
            <w:pPr>
              <w:rPr>
                <w:rFonts w:cstheme="minorHAnsi"/>
                <w:b/>
                <w:bCs/>
                <w:szCs w:val="24"/>
                <w:lang w:val="en-US"/>
              </w:rPr>
            </w:pPr>
          </w:p>
          <w:p w14:paraId="7F8B427A" w14:textId="77777777" w:rsidR="00C91AAE" w:rsidRPr="00C91AAE" w:rsidRDefault="00C91AAE" w:rsidP="00C91AAE">
            <w:pPr>
              <w:numPr>
                <w:ilvl w:val="1"/>
                <w:numId w:val="14"/>
              </w:numPr>
              <w:rPr>
                <w:rFonts w:cstheme="minorHAnsi"/>
                <w:szCs w:val="24"/>
              </w:rPr>
            </w:pPr>
            <w:r w:rsidRPr="00C91AAE">
              <w:rPr>
                <w:rFonts w:cstheme="minorHAnsi"/>
                <w:szCs w:val="24"/>
              </w:rPr>
              <w:t>In 2024, the gender pay gap at MEH continues to be driven by the consultant workforce, where men make up 60% of the group. While the median gender pay gap for medical staffing has improved from 21.70% in 2023 to 14.67% in 2024, the mean gap has widened slightly to 10.85%, indicating persistent pay disparities. Women remain underrepresented in senior roles, with a significant increase in the mean pay gap for Bands 8–9 from 2.33% to 11.13%, highlighting growing inequalities at higher non-medical levels. Meanwhile, Band 5–7 has seen a worsening in the median GPG from 7.30% to 9.90%, further reinforcing the challenges in mid-tier progression. In contrast, Band 1–4 now has a slight negative mean pay gap (-0.64%) in favour of women, with median pay remaining equal. These trends highlight the ongoing need for targeted interventions to support equitable pay progression and gender balance at all levels.</w:t>
            </w:r>
          </w:p>
          <w:p w14:paraId="497040C2" w14:textId="77777777" w:rsidR="00C91AAE" w:rsidRPr="00C91AAE" w:rsidRDefault="00C91AAE" w:rsidP="00C91AAE">
            <w:pPr>
              <w:numPr>
                <w:ilvl w:val="0"/>
                <w:numId w:val="14"/>
              </w:numPr>
              <w:rPr>
                <w:rFonts w:cstheme="minorHAnsi"/>
                <w:b/>
                <w:bCs/>
                <w:szCs w:val="24"/>
                <w:lang w:val="en-US"/>
              </w:rPr>
            </w:pPr>
            <w:r w:rsidRPr="00C91AAE">
              <w:rPr>
                <w:rFonts w:cstheme="minorHAnsi"/>
                <w:b/>
                <w:bCs/>
                <w:szCs w:val="24"/>
                <w:lang w:val="en-US"/>
              </w:rPr>
              <w:t>Bonus Gender Pay Gap</w:t>
            </w:r>
          </w:p>
          <w:p w14:paraId="72712D49" w14:textId="77777777" w:rsidR="00C91AAE" w:rsidRPr="00C91AAE" w:rsidRDefault="00C91AAE" w:rsidP="00C91AAE">
            <w:pPr>
              <w:numPr>
                <w:ilvl w:val="1"/>
                <w:numId w:val="14"/>
              </w:numPr>
              <w:rPr>
                <w:rFonts w:cstheme="minorHAnsi"/>
                <w:szCs w:val="24"/>
                <w:lang w:val="en-US"/>
              </w:rPr>
            </w:pPr>
            <w:r w:rsidRPr="00C91AAE">
              <w:rPr>
                <w:rFonts w:cstheme="minorHAnsi"/>
                <w:szCs w:val="24"/>
              </w:rPr>
              <w:t>The Bonus Gender Pay Gap at MEH continues to be influenced by the Clinical Excellence Awards (CEAs), which are available to medical consultants. In 2024, the bonus pay gap has reversed, with women now receiving a higher average bonus than men for the first time.</w:t>
            </w:r>
          </w:p>
          <w:p w14:paraId="7AE34F6A" w14:textId="77777777" w:rsidR="00C91AAE" w:rsidRPr="00C91AAE" w:rsidRDefault="00C91AAE" w:rsidP="00C91AAE">
            <w:pPr>
              <w:numPr>
                <w:ilvl w:val="1"/>
                <w:numId w:val="14"/>
              </w:numPr>
              <w:rPr>
                <w:rFonts w:cstheme="minorHAnsi"/>
                <w:szCs w:val="24"/>
                <w:lang w:val="en-US"/>
              </w:rPr>
            </w:pPr>
            <w:r w:rsidRPr="00C91AAE">
              <w:rPr>
                <w:rFonts w:cstheme="minorHAnsi"/>
                <w:szCs w:val="24"/>
              </w:rPr>
              <w:t>For the period 2023/2024, the Mean Bonus Gender Pay Gap has reversed to -4.38%, meaning female colleagues now receive a higher average bonus than male colleagues (£13,999 vs £13,412). The Median Bonus Gender Pay Gap stands at 6.39%, indicating that, at the mid-point, men (£12,749.13) still receive higher bonuses than women (£11,934.69), but the gap has narrowed compared to previous years.</w:t>
            </w:r>
          </w:p>
          <w:p w14:paraId="7D6A861F" w14:textId="4E44F9F4" w:rsidR="00C91AAE" w:rsidRPr="00C91AAE" w:rsidRDefault="00C91AAE" w:rsidP="00C91AAE">
            <w:pPr>
              <w:numPr>
                <w:ilvl w:val="1"/>
                <w:numId w:val="14"/>
              </w:numPr>
              <w:rPr>
                <w:rFonts w:cstheme="minorHAnsi"/>
                <w:szCs w:val="24"/>
                <w:lang w:val="en-US"/>
              </w:rPr>
            </w:pPr>
            <w:r w:rsidRPr="00C91AAE">
              <w:rPr>
                <w:rFonts w:cstheme="minorHAnsi"/>
                <w:szCs w:val="24"/>
                <w:lang w:val="en-US"/>
              </w:rPr>
              <w:t xml:space="preserve">Since 2021/2022 the trust has distributed the CEA’s equally across all consultant colleagues. However, for the period 2022/2023 </w:t>
            </w:r>
            <w:r w:rsidR="00774D18" w:rsidRPr="00C91AAE">
              <w:rPr>
                <w:rFonts w:cstheme="minorHAnsi"/>
                <w:szCs w:val="24"/>
                <w:lang w:val="en-US"/>
              </w:rPr>
              <w:t>CEAs</w:t>
            </w:r>
            <w:r w:rsidRPr="00C91AAE">
              <w:rPr>
                <w:rFonts w:cstheme="minorHAnsi"/>
                <w:szCs w:val="24"/>
                <w:lang w:val="en-US"/>
              </w:rPr>
              <w:t xml:space="preserve"> were pro-rated relative to colleagues’ Full Time Equivalent (FTE) working patterns. This is the primary driver for the increase in the Mean Bonus Gender Pay Gap. For 2022/23 the full FTE value was £5013.48. </w:t>
            </w:r>
            <w:r w:rsidRPr="00C91AAE">
              <w:rPr>
                <w:rFonts w:cstheme="minorHAnsi"/>
                <w:szCs w:val="24"/>
              </w:rPr>
              <w:t xml:space="preserve">Since 2021/2022, the trust has aimed for fair CEA distribution, but in 2022/2023, the Mean Bonus Gender Pay Gap increased from 2.66% to 7.13% due to pro-rated awards based on Full-Time Equivalent (FTE) working patterns, disproportionately impacting female consultants. In 2023/2024, the gap reversed to -4.38%, with women receiving a higher average bonus (£13,999 vs £13,412), though the Median Bonus Gender Pay Gap remains 6.39% in favour of men. Despite this progress, men are still more likely to receive a bonus (25.2% vs 15.6%). </w:t>
            </w:r>
          </w:p>
          <w:p w14:paraId="7AA853C3" w14:textId="77777777" w:rsidR="00C91AAE" w:rsidRPr="00C91AAE" w:rsidRDefault="00C91AAE" w:rsidP="00C91AAE">
            <w:pPr>
              <w:numPr>
                <w:ilvl w:val="1"/>
                <w:numId w:val="14"/>
              </w:numPr>
              <w:rPr>
                <w:rFonts w:cstheme="minorHAnsi"/>
                <w:szCs w:val="24"/>
                <w:lang w:val="en-US"/>
              </w:rPr>
            </w:pPr>
            <w:r w:rsidRPr="00C91AAE">
              <w:rPr>
                <w:rFonts w:cstheme="minorHAnsi"/>
                <w:szCs w:val="24"/>
              </w:rPr>
              <w:t xml:space="preserve">In 2023/2024, 71% of all bonuses were awarded to men, despite them making up 60% of consultants, while women received only 29% of bonuses despite representing 40% of consultants. This highlights that, while bonus values have improved for women, the proportion of women </w:t>
            </w:r>
            <w:proofErr w:type="gramStart"/>
            <w:r w:rsidRPr="00C91AAE">
              <w:rPr>
                <w:rFonts w:cstheme="minorHAnsi"/>
                <w:szCs w:val="24"/>
              </w:rPr>
              <w:t>actually receiving</w:t>
            </w:r>
            <w:proofErr w:type="gramEnd"/>
            <w:r w:rsidRPr="00C91AAE">
              <w:rPr>
                <w:rFonts w:cstheme="minorHAnsi"/>
                <w:szCs w:val="24"/>
              </w:rPr>
              <w:t xml:space="preserve"> bonuses remains lower.</w:t>
            </w:r>
          </w:p>
          <w:p w14:paraId="26A24D76" w14:textId="77777777" w:rsidR="00C91AAE" w:rsidRPr="00C91AAE" w:rsidRDefault="00C91AAE" w:rsidP="00C91AAE">
            <w:pPr>
              <w:rPr>
                <w:rFonts w:cstheme="minorHAnsi"/>
                <w:szCs w:val="24"/>
                <w:lang w:val="en-US"/>
              </w:rPr>
            </w:pPr>
          </w:p>
          <w:p w14:paraId="3B8277D1" w14:textId="77777777" w:rsidR="00C91AAE" w:rsidRPr="00C91AAE" w:rsidRDefault="00C91AAE" w:rsidP="00C91AAE">
            <w:pPr>
              <w:numPr>
                <w:ilvl w:val="0"/>
                <w:numId w:val="14"/>
              </w:numPr>
              <w:rPr>
                <w:rFonts w:cstheme="minorHAnsi"/>
                <w:b/>
                <w:bCs/>
                <w:szCs w:val="24"/>
                <w:lang w:val="en-US"/>
              </w:rPr>
            </w:pPr>
            <w:r w:rsidRPr="00C91AAE">
              <w:rPr>
                <w:rFonts w:cstheme="minorHAnsi"/>
                <w:b/>
                <w:bCs/>
                <w:szCs w:val="24"/>
                <w:lang w:val="en-US"/>
              </w:rPr>
              <w:t>Ethnicity Pay Gap (EPG) 2024</w:t>
            </w:r>
          </w:p>
          <w:p w14:paraId="173B5F80" w14:textId="77777777" w:rsidR="00C91AAE" w:rsidRPr="00C91AAE" w:rsidRDefault="00C91AAE" w:rsidP="00C91AAE">
            <w:pPr>
              <w:numPr>
                <w:ilvl w:val="1"/>
                <w:numId w:val="14"/>
              </w:numPr>
              <w:rPr>
                <w:rFonts w:cstheme="minorHAnsi"/>
                <w:szCs w:val="24"/>
                <w:lang w:val="en-US"/>
              </w:rPr>
            </w:pPr>
            <w:r w:rsidRPr="00C91AAE">
              <w:rPr>
                <w:rFonts w:cstheme="minorHAnsi"/>
                <w:szCs w:val="24"/>
                <w:lang w:val="en-US"/>
              </w:rPr>
              <w:t>Whilst not required to report on it formally, the trust continues our practice of analysing our pay data by ethnicity.</w:t>
            </w:r>
          </w:p>
          <w:p w14:paraId="5BCB6B6B" w14:textId="77777777" w:rsidR="00C91AAE" w:rsidRPr="00C91AAE" w:rsidRDefault="00C91AAE" w:rsidP="00C91AAE">
            <w:pPr>
              <w:numPr>
                <w:ilvl w:val="1"/>
                <w:numId w:val="14"/>
              </w:numPr>
              <w:rPr>
                <w:rFonts w:cstheme="minorHAnsi"/>
                <w:szCs w:val="24"/>
                <w:lang w:val="en-US"/>
              </w:rPr>
            </w:pPr>
            <w:r w:rsidRPr="00C91AAE">
              <w:rPr>
                <w:rFonts w:cstheme="minorHAnsi"/>
                <w:szCs w:val="24"/>
              </w:rPr>
              <w:lastRenderedPageBreak/>
              <w:t>The Mean Ethnicity Pay Gap (EPG) has increased from 13.20% in 2022 to 14.17% in 2023, and further to 18.95% in 2024, highlighting a continuous widening disparity between BME and White employees. Similarly, the Median EPG has increased from 7.28% in 2022 to 9.93% in 2023, and now to 17.62% in 2024, reinforcing concerns about pay progression gaps and the underrepresentation of BME colleagues in higher-paid roles.</w:t>
            </w:r>
          </w:p>
          <w:p w14:paraId="25E4D15F" w14:textId="77777777" w:rsidR="00C91AAE" w:rsidRPr="00C91AAE" w:rsidRDefault="00C91AAE" w:rsidP="00C91AAE">
            <w:pPr>
              <w:numPr>
                <w:ilvl w:val="1"/>
                <w:numId w:val="14"/>
              </w:numPr>
              <w:rPr>
                <w:rFonts w:cstheme="minorHAnsi"/>
                <w:szCs w:val="24"/>
                <w:lang w:val="en-US"/>
              </w:rPr>
            </w:pPr>
            <w:r w:rsidRPr="00C91AAE">
              <w:rPr>
                <w:rFonts w:cstheme="minorHAnsi"/>
                <w:szCs w:val="24"/>
                <w:lang w:val="en-US"/>
              </w:rPr>
              <w:t xml:space="preserve">Table 7 shows that EPG </w:t>
            </w:r>
            <w:proofErr w:type="gramStart"/>
            <w:r w:rsidRPr="00C91AAE">
              <w:rPr>
                <w:rFonts w:cstheme="minorHAnsi"/>
                <w:szCs w:val="24"/>
                <w:lang w:val="en-US"/>
              </w:rPr>
              <w:t>is primarily driven</w:t>
            </w:r>
            <w:proofErr w:type="gramEnd"/>
            <w:r w:rsidRPr="00C91AAE">
              <w:rPr>
                <w:rFonts w:cstheme="minorHAnsi"/>
                <w:szCs w:val="24"/>
                <w:lang w:val="en-US"/>
              </w:rPr>
              <w:t xml:space="preserve"> by pay at the AfC Bands 8-9 and within the Medical Staffing workforce. This reflects our underrepresentation rates for Black, Asian and Minority Ethnic (BME) colleagues within Band 7, and similarly at Bands 8c and above.</w:t>
            </w:r>
          </w:p>
          <w:tbl>
            <w:tblPr>
              <w:tblW w:w="9842" w:type="dxa"/>
              <w:tblInd w:w="279" w:type="dxa"/>
              <w:tblLook w:val="04A0" w:firstRow="1" w:lastRow="0" w:firstColumn="1" w:lastColumn="0" w:noHBand="0" w:noVBand="1"/>
            </w:tblPr>
            <w:tblGrid>
              <w:gridCol w:w="3189"/>
              <w:gridCol w:w="1236"/>
              <w:gridCol w:w="1165"/>
              <w:gridCol w:w="929"/>
              <w:gridCol w:w="929"/>
              <w:gridCol w:w="1019"/>
              <w:gridCol w:w="1092"/>
            </w:tblGrid>
            <w:tr w:rsidR="00C91AAE" w:rsidRPr="00C91AAE" w14:paraId="6B9591F1" w14:textId="77777777" w:rsidTr="003352D5">
              <w:trPr>
                <w:trHeight w:val="281"/>
              </w:trPr>
              <w:tc>
                <w:tcPr>
                  <w:tcW w:w="3294" w:type="dxa"/>
                  <w:vMerge w:val="restart"/>
                  <w:tcBorders>
                    <w:top w:val="single" w:sz="4" w:space="0" w:color="auto"/>
                    <w:left w:val="single" w:sz="4" w:space="0" w:color="auto"/>
                    <w:bottom w:val="single" w:sz="4" w:space="0" w:color="auto"/>
                    <w:right w:val="single" w:sz="4" w:space="0" w:color="auto"/>
                  </w:tcBorders>
                  <w:shd w:val="clear" w:color="D9E1F2" w:fill="D9E1F2"/>
                  <w:vAlign w:val="bottom"/>
                  <w:hideMark/>
                </w:tcPr>
                <w:p w14:paraId="5640F9C2" w14:textId="77777777" w:rsidR="00C91AAE" w:rsidRPr="00C91AAE" w:rsidRDefault="00C91AAE" w:rsidP="00C91AAE">
                  <w:pPr>
                    <w:rPr>
                      <w:rFonts w:cstheme="minorHAnsi"/>
                      <w:b/>
                      <w:bCs/>
                      <w:szCs w:val="24"/>
                    </w:rPr>
                  </w:pPr>
                  <w:r w:rsidRPr="00C91AAE">
                    <w:rPr>
                      <w:rFonts w:cstheme="minorHAnsi"/>
                      <w:b/>
                      <w:bCs/>
                      <w:szCs w:val="24"/>
                    </w:rPr>
                    <w:t xml:space="preserve">Band Groupings </w:t>
                  </w:r>
                </w:p>
              </w:tc>
              <w:tc>
                <w:tcPr>
                  <w:tcW w:w="2470" w:type="dxa"/>
                  <w:gridSpan w:val="2"/>
                  <w:tcBorders>
                    <w:top w:val="single" w:sz="4" w:space="0" w:color="auto"/>
                    <w:left w:val="nil"/>
                    <w:bottom w:val="single" w:sz="4" w:space="0" w:color="auto"/>
                    <w:right w:val="single" w:sz="4" w:space="0" w:color="auto"/>
                  </w:tcBorders>
                  <w:shd w:val="clear" w:color="D9E1F2" w:fill="D9E1F2"/>
                  <w:noWrap/>
                  <w:vAlign w:val="bottom"/>
                  <w:hideMark/>
                </w:tcPr>
                <w:p w14:paraId="15BA75EC" w14:textId="77777777" w:rsidR="00C91AAE" w:rsidRPr="00C91AAE" w:rsidRDefault="00C91AAE" w:rsidP="00C91AAE">
                  <w:pPr>
                    <w:rPr>
                      <w:rFonts w:cstheme="minorHAnsi"/>
                      <w:b/>
                      <w:bCs/>
                      <w:szCs w:val="24"/>
                    </w:rPr>
                  </w:pPr>
                  <w:r w:rsidRPr="00C91AAE">
                    <w:rPr>
                      <w:rFonts w:cstheme="minorHAnsi"/>
                      <w:b/>
                      <w:bCs/>
                      <w:szCs w:val="24"/>
                    </w:rPr>
                    <w:t>BME</w:t>
                  </w:r>
                </w:p>
              </w:tc>
              <w:tc>
                <w:tcPr>
                  <w:tcW w:w="1908" w:type="dxa"/>
                  <w:gridSpan w:val="2"/>
                  <w:tcBorders>
                    <w:top w:val="single" w:sz="4" w:space="0" w:color="auto"/>
                    <w:left w:val="nil"/>
                    <w:bottom w:val="single" w:sz="4" w:space="0" w:color="auto"/>
                    <w:right w:val="single" w:sz="4" w:space="0" w:color="auto"/>
                  </w:tcBorders>
                  <w:shd w:val="clear" w:color="D9E1F2" w:fill="D9E1F2"/>
                  <w:noWrap/>
                  <w:vAlign w:val="bottom"/>
                  <w:hideMark/>
                </w:tcPr>
                <w:p w14:paraId="2D4AAE89" w14:textId="77777777" w:rsidR="00C91AAE" w:rsidRPr="00C91AAE" w:rsidRDefault="00C91AAE" w:rsidP="00C91AAE">
                  <w:pPr>
                    <w:rPr>
                      <w:rFonts w:cstheme="minorHAnsi"/>
                      <w:b/>
                      <w:bCs/>
                      <w:szCs w:val="24"/>
                    </w:rPr>
                  </w:pPr>
                  <w:r w:rsidRPr="00C91AAE">
                    <w:rPr>
                      <w:rFonts w:cstheme="minorHAnsi"/>
                      <w:b/>
                      <w:bCs/>
                      <w:szCs w:val="24"/>
                    </w:rPr>
                    <w:t>WHITE</w:t>
                  </w:r>
                </w:p>
              </w:tc>
              <w:tc>
                <w:tcPr>
                  <w:tcW w:w="2170" w:type="dxa"/>
                  <w:gridSpan w:val="2"/>
                  <w:tcBorders>
                    <w:top w:val="single" w:sz="4" w:space="0" w:color="auto"/>
                    <w:left w:val="nil"/>
                    <w:bottom w:val="single" w:sz="4" w:space="0" w:color="auto"/>
                    <w:right w:val="single" w:sz="4" w:space="0" w:color="auto"/>
                  </w:tcBorders>
                  <w:shd w:val="clear" w:color="D9E1F2" w:fill="D9E1F2"/>
                  <w:noWrap/>
                  <w:vAlign w:val="bottom"/>
                  <w:hideMark/>
                </w:tcPr>
                <w:p w14:paraId="25168268" w14:textId="77777777" w:rsidR="00C91AAE" w:rsidRPr="00C91AAE" w:rsidRDefault="00C91AAE" w:rsidP="00C91AAE">
                  <w:pPr>
                    <w:rPr>
                      <w:rFonts w:cstheme="minorHAnsi"/>
                      <w:b/>
                      <w:bCs/>
                      <w:szCs w:val="24"/>
                    </w:rPr>
                  </w:pPr>
                  <w:r w:rsidRPr="00C91AAE">
                    <w:rPr>
                      <w:rFonts w:cstheme="minorHAnsi"/>
                      <w:b/>
                      <w:bCs/>
                      <w:szCs w:val="24"/>
                    </w:rPr>
                    <w:t>GPG</w:t>
                  </w:r>
                </w:p>
              </w:tc>
            </w:tr>
            <w:tr w:rsidR="00C91AAE" w:rsidRPr="00C91AAE" w14:paraId="7B0D719D" w14:textId="77777777" w:rsidTr="003352D5">
              <w:trPr>
                <w:trHeight w:val="563"/>
              </w:trPr>
              <w:tc>
                <w:tcPr>
                  <w:tcW w:w="3294" w:type="dxa"/>
                  <w:vMerge/>
                  <w:tcBorders>
                    <w:top w:val="single" w:sz="4" w:space="0" w:color="auto"/>
                    <w:left w:val="single" w:sz="4" w:space="0" w:color="auto"/>
                    <w:bottom w:val="single" w:sz="4" w:space="0" w:color="auto"/>
                    <w:right w:val="single" w:sz="4" w:space="0" w:color="auto"/>
                  </w:tcBorders>
                  <w:vAlign w:val="center"/>
                  <w:hideMark/>
                </w:tcPr>
                <w:p w14:paraId="640CB34C" w14:textId="77777777" w:rsidR="00C91AAE" w:rsidRPr="00C91AAE" w:rsidRDefault="00C91AAE" w:rsidP="00C91AAE">
                  <w:pPr>
                    <w:rPr>
                      <w:rFonts w:cstheme="minorHAnsi"/>
                      <w:b/>
                      <w:bCs/>
                      <w:szCs w:val="24"/>
                    </w:rPr>
                  </w:pPr>
                </w:p>
              </w:tc>
              <w:tc>
                <w:tcPr>
                  <w:tcW w:w="1272" w:type="dxa"/>
                  <w:tcBorders>
                    <w:top w:val="nil"/>
                    <w:left w:val="nil"/>
                    <w:bottom w:val="single" w:sz="4" w:space="0" w:color="auto"/>
                    <w:right w:val="single" w:sz="4" w:space="0" w:color="auto"/>
                  </w:tcBorders>
                  <w:shd w:val="clear" w:color="D9E1F2" w:fill="D9E1F2"/>
                  <w:vAlign w:val="bottom"/>
                  <w:hideMark/>
                </w:tcPr>
                <w:p w14:paraId="5647686A" w14:textId="77777777" w:rsidR="00C91AAE" w:rsidRPr="00C91AAE" w:rsidRDefault="00C91AAE" w:rsidP="00C91AAE">
                  <w:pPr>
                    <w:rPr>
                      <w:rFonts w:cstheme="minorHAnsi"/>
                      <w:b/>
                      <w:bCs/>
                      <w:szCs w:val="24"/>
                    </w:rPr>
                  </w:pPr>
                  <w:r w:rsidRPr="00C91AAE">
                    <w:rPr>
                      <w:rFonts w:cstheme="minorHAnsi"/>
                      <w:b/>
                      <w:bCs/>
                      <w:szCs w:val="24"/>
                    </w:rPr>
                    <w:t>Mean Hrly Rate</w:t>
                  </w:r>
                </w:p>
              </w:tc>
              <w:tc>
                <w:tcPr>
                  <w:tcW w:w="1198" w:type="dxa"/>
                  <w:tcBorders>
                    <w:top w:val="nil"/>
                    <w:left w:val="nil"/>
                    <w:bottom w:val="single" w:sz="4" w:space="0" w:color="auto"/>
                    <w:right w:val="single" w:sz="4" w:space="0" w:color="auto"/>
                  </w:tcBorders>
                  <w:shd w:val="clear" w:color="D9E1F2" w:fill="D9E1F2"/>
                  <w:vAlign w:val="bottom"/>
                  <w:hideMark/>
                </w:tcPr>
                <w:p w14:paraId="0C7D8360" w14:textId="77777777" w:rsidR="00C91AAE" w:rsidRPr="00C91AAE" w:rsidRDefault="00C91AAE" w:rsidP="00C91AAE">
                  <w:pPr>
                    <w:rPr>
                      <w:rFonts w:cstheme="minorHAnsi"/>
                      <w:b/>
                      <w:bCs/>
                      <w:szCs w:val="24"/>
                    </w:rPr>
                  </w:pPr>
                  <w:r w:rsidRPr="00C91AAE">
                    <w:rPr>
                      <w:rFonts w:cstheme="minorHAnsi"/>
                      <w:b/>
                      <w:bCs/>
                      <w:szCs w:val="24"/>
                    </w:rPr>
                    <w:t>Median Hrly Rate</w:t>
                  </w:r>
                </w:p>
              </w:tc>
              <w:tc>
                <w:tcPr>
                  <w:tcW w:w="954" w:type="dxa"/>
                  <w:tcBorders>
                    <w:top w:val="nil"/>
                    <w:left w:val="nil"/>
                    <w:bottom w:val="single" w:sz="4" w:space="0" w:color="auto"/>
                    <w:right w:val="single" w:sz="4" w:space="0" w:color="auto"/>
                  </w:tcBorders>
                  <w:shd w:val="clear" w:color="D9E1F2" w:fill="D9E1F2"/>
                  <w:vAlign w:val="bottom"/>
                  <w:hideMark/>
                </w:tcPr>
                <w:p w14:paraId="4625BDAF" w14:textId="77777777" w:rsidR="00C91AAE" w:rsidRPr="00C91AAE" w:rsidRDefault="00C91AAE" w:rsidP="00C91AAE">
                  <w:pPr>
                    <w:rPr>
                      <w:rFonts w:cstheme="minorHAnsi"/>
                      <w:b/>
                      <w:bCs/>
                      <w:szCs w:val="24"/>
                    </w:rPr>
                  </w:pPr>
                  <w:r w:rsidRPr="00C91AAE">
                    <w:rPr>
                      <w:rFonts w:cstheme="minorHAnsi"/>
                      <w:b/>
                      <w:bCs/>
                      <w:szCs w:val="24"/>
                    </w:rPr>
                    <w:t>Mean Hrly Rate</w:t>
                  </w:r>
                </w:p>
              </w:tc>
              <w:tc>
                <w:tcPr>
                  <w:tcW w:w="954" w:type="dxa"/>
                  <w:tcBorders>
                    <w:top w:val="nil"/>
                    <w:left w:val="nil"/>
                    <w:bottom w:val="single" w:sz="4" w:space="0" w:color="auto"/>
                    <w:right w:val="single" w:sz="4" w:space="0" w:color="auto"/>
                  </w:tcBorders>
                  <w:shd w:val="clear" w:color="D9E1F2" w:fill="D9E1F2"/>
                  <w:vAlign w:val="bottom"/>
                  <w:hideMark/>
                </w:tcPr>
                <w:p w14:paraId="30EACB2D" w14:textId="77777777" w:rsidR="00C91AAE" w:rsidRPr="00C91AAE" w:rsidRDefault="00C91AAE" w:rsidP="00C91AAE">
                  <w:pPr>
                    <w:rPr>
                      <w:rFonts w:cstheme="minorHAnsi"/>
                      <w:b/>
                      <w:bCs/>
                      <w:szCs w:val="24"/>
                    </w:rPr>
                  </w:pPr>
                  <w:r w:rsidRPr="00C91AAE">
                    <w:rPr>
                      <w:rFonts w:cstheme="minorHAnsi"/>
                      <w:b/>
                      <w:bCs/>
                      <w:szCs w:val="24"/>
                    </w:rPr>
                    <w:t>Median Hrly Rate</w:t>
                  </w:r>
                </w:p>
              </w:tc>
              <w:tc>
                <w:tcPr>
                  <w:tcW w:w="1047" w:type="dxa"/>
                  <w:tcBorders>
                    <w:top w:val="nil"/>
                    <w:left w:val="nil"/>
                    <w:bottom w:val="single" w:sz="4" w:space="0" w:color="auto"/>
                    <w:right w:val="single" w:sz="4" w:space="0" w:color="auto"/>
                  </w:tcBorders>
                  <w:shd w:val="clear" w:color="D9E1F2" w:fill="D9E1F2"/>
                  <w:vAlign w:val="bottom"/>
                  <w:hideMark/>
                </w:tcPr>
                <w:p w14:paraId="3A8146B4" w14:textId="77777777" w:rsidR="00C91AAE" w:rsidRPr="00C91AAE" w:rsidRDefault="00C91AAE" w:rsidP="00C91AAE">
                  <w:pPr>
                    <w:rPr>
                      <w:rFonts w:cstheme="minorHAnsi"/>
                      <w:b/>
                      <w:bCs/>
                      <w:szCs w:val="24"/>
                    </w:rPr>
                  </w:pPr>
                  <w:r w:rsidRPr="00C91AAE">
                    <w:rPr>
                      <w:rFonts w:cstheme="minorHAnsi"/>
                      <w:b/>
                      <w:bCs/>
                      <w:szCs w:val="24"/>
                    </w:rPr>
                    <w:t>Mean GPG</w:t>
                  </w:r>
                </w:p>
              </w:tc>
              <w:tc>
                <w:tcPr>
                  <w:tcW w:w="1123" w:type="dxa"/>
                  <w:tcBorders>
                    <w:top w:val="nil"/>
                    <w:left w:val="nil"/>
                    <w:bottom w:val="single" w:sz="4" w:space="0" w:color="auto"/>
                    <w:right w:val="single" w:sz="4" w:space="0" w:color="auto"/>
                  </w:tcBorders>
                  <w:shd w:val="clear" w:color="D9E1F2" w:fill="D9E1F2"/>
                  <w:vAlign w:val="bottom"/>
                  <w:hideMark/>
                </w:tcPr>
                <w:p w14:paraId="0C823A91" w14:textId="77777777" w:rsidR="00C91AAE" w:rsidRPr="00C91AAE" w:rsidRDefault="00C91AAE" w:rsidP="00C91AAE">
                  <w:pPr>
                    <w:rPr>
                      <w:rFonts w:cstheme="minorHAnsi"/>
                      <w:b/>
                      <w:bCs/>
                      <w:szCs w:val="24"/>
                    </w:rPr>
                  </w:pPr>
                  <w:r w:rsidRPr="00C91AAE">
                    <w:rPr>
                      <w:rFonts w:cstheme="minorHAnsi"/>
                      <w:b/>
                      <w:bCs/>
                      <w:szCs w:val="24"/>
                    </w:rPr>
                    <w:t>Median GPG</w:t>
                  </w:r>
                </w:p>
              </w:tc>
            </w:tr>
            <w:tr w:rsidR="00C91AAE" w:rsidRPr="00C91AAE" w14:paraId="05D2202D" w14:textId="77777777" w:rsidTr="003352D5">
              <w:trPr>
                <w:trHeight w:val="281"/>
              </w:trPr>
              <w:tc>
                <w:tcPr>
                  <w:tcW w:w="3294" w:type="dxa"/>
                  <w:tcBorders>
                    <w:top w:val="nil"/>
                    <w:left w:val="single" w:sz="4" w:space="0" w:color="auto"/>
                    <w:bottom w:val="single" w:sz="4" w:space="0" w:color="auto"/>
                    <w:right w:val="single" w:sz="4" w:space="0" w:color="auto"/>
                  </w:tcBorders>
                  <w:shd w:val="clear" w:color="auto" w:fill="auto"/>
                  <w:noWrap/>
                  <w:vAlign w:val="bottom"/>
                  <w:hideMark/>
                </w:tcPr>
                <w:p w14:paraId="4DCC82EE" w14:textId="77777777" w:rsidR="00C91AAE" w:rsidRPr="00C91AAE" w:rsidRDefault="00C91AAE" w:rsidP="00C91AAE">
                  <w:pPr>
                    <w:rPr>
                      <w:rFonts w:cstheme="minorHAnsi"/>
                      <w:b/>
                      <w:bCs/>
                      <w:szCs w:val="24"/>
                    </w:rPr>
                  </w:pPr>
                  <w:r w:rsidRPr="00C91AAE">
                    <w:rPr>
                      <w:rFonts w:cstheme="minorHAnsi"/>
                      <w:b/>
                      <w:bCs/>
                      <w:szCs w:val="24"/>
                    </w:rPr>
                    <w:t>Band 1-4</w:t>
                  </w:r>
                </w:p>
              </w:tc>
              <w:tc>
                <w:tcPr>
                  <w:tcW w:w="1272" w:type="dxa"/>
                  <w:tcBorders>
                    <w:top w:val="nil"/>
                    <w:left w:val="nil"/>
                    <w:bottom w:val="single" w:sz="4" w:space="0" w:color="auto"/>
                    <w:right w:val="single" w:sz="4" w:space="0" w:color="auto"/>
                  </w:tcBorders>
                  <w:shd w:val="clear" w:color="auto" w:fill="auto"/>
                  <w:noWrap/>
                  <w:vAlign w:val="bottom"/>
                  <w:hideMark/>
                </w:tcPr>
                <w:p w14:paraId="39C7B7B5" w14:textId="77777777" w:rsidR="00C91AAE" w:rsidRPr="00C91AAE" w:rsidRDefault="00C91AAE" w:rsidP="00C91AAE">
                  <w:pPr>
                    <w:rPr>
                      <w:rFonts w:cstheme="minorHAnsi"/>
                      <w:b/>
                      <w:bCs/>
                      <w:szCs w:val="24"/>
                    </w:rPr>
                  </w:pPr>
                  <w:r w:rsidRPr="00C91AAE">
                    <w:rPr>
                      <w:rFonts w:cstheme="minorHAnsi"/>
                      <w:b/>
                      <w:bCs/>
                      <w:szCs w:val="24"/>
                    </w:rPr>
                    <w:t xml:space="preserve"> £           15.03 </w:t>
                  </w:r>
                </w:p>
              </w:tc>
              <w:tc>
                <w:tcPr>
                  <w:tcW w:w="1198" w:type="dxa"/>
                  <w:tcBorders>
                    <w:top w:val="nil"/>
                    <w:left w:val="nil"/>
                    <w:bottom w:val="single" w:sz="4" w:space="0" w:color="auto"/>
                    <w:right w:val="single" w:sz="4" w:space="0" w:color="auto"/>
                  </w:tcBorders>
                  <w:shd w:val="clear" w:color="auto" w:fill="auto"/>
                  <w:noWrap/>
                  <w:vAlign w:val="bottom"/>
                  <w:hideMark/>
                </w:tcPr>
                <w:p w14:paraId="3DDF6D07" w14:textId="77777777" w:rsidR="00C91AAE" w:rsidRPr="00C91AAE" w:rsidRDefault="00C91AAE" w:rsidP="00C91AAE">
                  <w:pPr>
                    <w:rPr>
                      <w:rFonts w:cstheme="minorHAnsi"/>
                      <w:b/>
                      <w:bCs/>
                      <w:szCs w:val="24"/>
                    </w:rPr>
                  </w:pPr>
                  <w:r w:rsidRPr="00C91AAE">
                    <w:rPr>
                      <w:rFonts w:cstheme="minorHAnsi"/>
                      <w:b/>
                      <w:bCs/>
                      <w:szCs w:val="24"/>
                    </w:rPr>
                    <w:t xml:space="preserve"> £         15.07 </w:t>
                  </w:r>
                </w:p>
              </w:tc>
              <w:tc>
                <w:tcPr>
                  <w:tcW w:w="954" w:type="dxa"/>
                  <w:tcBorders>
                    <w:top w:val="nil"/>
                    <w:left w:val="nil"/>
                    <w:bottom w:val="single" w:sz="4" w:space="0" w:color="auto"/>
                    <w:right w:val="single" w:sz="4" w:space="0" w:color="auto"/>
                  </w:tcBorders>
                  <w:shd w:val="clear" w:color="auto" w:fill="auto"/>
                  <w:noWrap/>
                  <w:vAlign w:val="bottom"/>
                  <w:hideMark/>
                </w:tcPr>
                <w:p w14:paraId="3F6669F4" w14:textId="77777777" w:rsidR="00C91AAE" w:rsidRPr="00C91AAE" w:rsidRDefault="00C91AAE" w:rsidP="00C91AAE">
                  <w:pPr>
                    <w:rPr>
                      <w:rFonts w:cstheme="minorHAnsi"/>
                      <w:b/>
                      <w:bCs/>
                      <w:szCs w:val="24"/>
                    </w:rPr>
                  </w:pPr>
                  <w:r w:rsidRPr="00C91AAE">
                    <w:rPr>
                      <w:rFonts w:cstheme="minorHAnsi"/>
                      <w:b/>
                      <w:bCs/>
                      <w:szCs w:val="24"/>
                    </w:rPr>
                    <w:t xml:space="preserve"> £    15.18 </w:t>
                  </w:r>
                </w:p>
              </w:tc>
              <w:tc>
                <w:tcPr>
                  <w:tcW w:w="954" w:type="dxa"/>
                  <w:tcBorders>
                    <w:top w:val="nil"/>
                    <w:left w:val="nil"/>
                    <w:bottom w:val="single" w:sz="4" w:space="0" w:color="auto"/>
                    <w:right w:val="single" w:sz="4" w:space="0" w:color="auto"/>
                  </w:tcBorders>
                  <w:shd w:val="clear" w:color="auto" w:fill="auto"/>
                  <w:noWrap/>
                  <w:vAlign w:val="bottom"/>
                  <w:hideMark/>
                </w:tcPr>
                <w:p w14:paraId="56FB8942" w14:textId="77777777" w:rsidR="00C91AAE" w:rsidRPr="00C91AAE" w:rsidRDefault="00C91AAE" w:rsidP="00C91AAE">
                  <w:pPr>
                    <w:rPr>
                      <w:rFonts w:cstheme="minorHAnsi"/>
                      <w:b/>
                      <w:bCs/>
                      <w:szCs w:val="24"/>
                    </w:rPr>
                  </w:pPr>
                  <w:r w:rsidRPr="00C91AAE">
                    <w:rPr>
                      <w:rFonts w:cstheme="minorHAnsi"/>
                      <w:b/>
                      <w:bCs/>
                      <w:szCs w:val="24"/>
                    </w:rPr>
                    <w:t xml:space="preserve"> £    15.07 </w:t>
                  </w:r>
                </w:p>
              </w:tc>
              <w:tc>
                <w:tcPr>
                  <w:tcW w:w="1047" w:type="dxa"/>
                  <w:tcBorders>
                    <w:top w:val="nil"/>
                    <w:left w:val="nil"/>
                    <w:bottom w:val="single" w:sz="4" w:space="0" w:color="auto"/>
                    <w:right w:val="single" w:sz="4" w:space="0" w:color="auto"/>
                  </w:tcBorders>
                  <w:shd w:val="clear" w:color="auto" w:fill="auto"/>
                  <w:noWrap/>
                  <w:vAlign w:val="bottom"/>
                  <w:hideMark/>
                </w:tcPr>
                <w:p w14:paraId="0ACD9E18" w14:textId="77777777" w:rsidR="00C91AAE" w:rsidRPr="00C91AAE" w:rsidRDefault="00C91AAE" w:rsidP="00C91AAE">
                  <w:pPr>
                    <w:rPr>
                      <w:rFonts w:cstheme="minorHAnsi"/>
                      <w:b/>
                      <w:bCs/>
                      <w:szCs w:val="24"/>
                    </w:rPr>
                  </w:pPr>
                  <w:r w:rsidRPr="00C91AAE">
                    <w:rPr>
                      <w:rFonts w:cstheme="minorHAnsi"/>
                      <w:b/>
                      <w:bCs/>
                      <w:szCs w:val="24"/>
                    </w:rPr>
                    <w:t>0.95%</w:t>
                  </w:r>
                </w:p>
              </w:tc>
              <w:tc>
                <w:tcPr>
                  <w:tcW w:w="1123" w:type="dxa"/>
                  <w:tcBorders>
                    <w:top w:val="nil"/>
                    <w:left w:val="nil"/>
                    <w:bottom w:val="single" w:sz="4" w:space="0" w:color="auto"/>
                    <w:right w:val="single" w:sz="4" w:space="0" w:color="auto"/>
                  </w:tcBorders>
                  <w:shd w:val="clear" w:color="auto" w:fill="auto"/>
                  <w:noWrap/>
                  <w:vAlign w:val="bottom"/>
                  <w:hideMark/>
                </w:tcPr>
                <w:p w14:paraId="0D36AE87" w14:textId="77777777" w:rsidR="00C91AAE" w:rsidRPr="00C91AAE" w:rsidRDefault="00C91AAE" w:rsidP="00C91AAE">
                  <w:pPr>
                    <w:rPr>
                      <w:rFonts w:cstheme="minorHAnsi"/>
                      <w:b/>
                      <w:bCs/>
                      <w:szCs w:val="24"/>
                    </w:rPr>
                  </w:pPr>
                  <w:r w:rsidRPr="00C91AAE">
                    <w:rPr>
                      <w:rFonts w:cstheme="minorHAnsi"/>
                      <w:b/>
                      <w:bCs/>
                      <w:szCs w:val="24"/>
                    </w:rPr>
                    <w:t>0.00%</w:t>
                  </w:r>
                </w:p>
              </w:tc>
            </w:tr>
            <w:tr w:rsidR="00C91AAE" w:rsidRPr="00C91AAE" w14:paraId="2E34E3CC" w14:textId="77777777" w:rsidTr="003352D5">
              <w:trPr>
                <w:trHeight w:val="281"/>
              </w:trPr>
              <w:tc>
                <w:tcPr>
                  <w:tcW w:w="3294" w:type="dxa"/>
                  <w:tcBorders>
                    <w:top w:val="nil"/>
                    <w:left w:val="single" w:sz="4" w:space="0" w:color="auto"/>
                    <w:bottom w:val="single" w:sz="4" w:space="0" w:color="auto"/>
                    <w:right w:val="single" w:sz="4" w:space="0" w:color="auto"/>
                  </w:tcBorders>
                  <w:shd w:val="clear" w:color="auto" w:fill="auto"/>
                  <w:noWrap/>
                  <w:vAlign w:val="bottom"/>
                  <w:hideMark/>
                </w:tcPr>
                <w:p w14:paraId="69291B7D" w14:textId="77777777" w:rsidR="00C91AAE" w:rsidRPr="00C91AAE" w:rsidRDefault="00C91AAE" w:rsidP="00C91AAE">
                  <w:pPr>
                    <w:rPr>
                      <w:rFonts w:cstheme="minorHAnsi"/>
                      <w:b/>
                      <w:bCs/>
                      <w:szCs w:val="24"/>
                    </w:rPr>
                  </w:pPr>
                  <w:r w:rsidRPr="00C91AAE">
                    <w:rPr>
                      <w:rFonts w:cstheme="minorHAnsi"/>
                      <w:b/>
                      <w:bCs/>
                      <w:szCs w:val="24"/>
                    </w:rPr>
                    <w:t>Band 5-7</w:t>
                  </w:r>
                </w:p>
              </w:tc>
              <w:tc>
                <w:tcPr>
                  <w:tcW w:w="1272" w:type="dxa"/>
                  <w:tcBorders>
                    <w:top w:val="nil"/>
                    <w:left w:val="nil"/>
                    <w:bottom w:val="single" w:sz="4" w:space="0" w:color="auto"/>
                    <w:right w:val="single" w:sz="4" w:space="0" w:color="auto"/>
                  </w:tcBorders>
                  <w:shd w:val="clear" w:color="auto" w:fill="auto"/>
                  <w:noWrap/>
                  <w:vAlign w:val="bottom"/>
                  <w:hideMark/>
                </w:tcPr>
                <w:p w14:paraId="69106CA4" w14:textId="77777777" w:rsidR="00C91AAE" w:rsidRPr="00C91AAE" w:rsidRDefault="00C91AAE" w:rsidP="00C91AAE">
                  <w:pPr>
                    <w:rPr>
                      <w:rFonts w:cstheme="minorHAnsi"/>
                      <w:b/>
                      <w:bCs/>
                      <w:szCs w:val="24"/>
                    </w:rPr>
                  </w:pPr>
                  <w:r w:rsidRPr="00C91AAE">
                    <w:rPr>
                      <w:rFonts w:cstheme="minorHAnsi"/>
                      <w:b/>
                      <w:bCs/>
                      <w:szCs w:val="24"/>
                    </w:rPr>
                    <w:t xml:space="preserve"> £           23.59 </w:t>
                  </w:r>
                </w:p>
              </w:tc>
              <w:tc>
                <w:tcPr>
                  <w:tcW w:w="1198" w:type="dxa"/>
                  <w:tcBorders>
                    <w:top w:val="nil"/>
                    <w:left w:val="nil"/>
                    <w:bottom w:val="single" w:sz="4" w:space="0" w:color="auto"/>
                    <w:right w:val="single" w:sz="4" w:space="0" w:color="auto"/>
                  </w:tcBorders>
                  <w:shd w:val="clear" w:color="auto" w:fill="auto"/>
                  <w:noWrap/>
                  <w:vAlign w:val="bottom"/>
                  <w:hideMark/>
                </w:tcPr>
                <w:p w14:paraId="3624AE70" w14:textId="77777777" w:rsidR="00C91AAE" w:rsidRPr="00C91AAE" w:rsidRDefault="00C91AAE" w:rsidP="00C91AAE">
                  <w:pPr>
                    <w:rPr>
                      <w:rFonts w:cstheme="minorHAnsi"/>
                      <w:b/>
                      <w:bCs/>
                      <w:szCs w:val="24"/>
                    </w:rPr>
                  </w:pPr>
                  <w:r w:rsidRPr="00C91AAE">
                    <w:rPr>
                      <w:rFonts w:cstheme="minorHAnsi"/>
                      <w:b/>
                      <w:bCs/>
                      <w:szCs w:val="24"/>
                    </w:rPr>
                    <w:t xml:space="preserve"> £         22.92 </w:t>
                  </w:r>
                </w:p>
              </w:tc>
              <w:tc>
                <w:tcPr>
                  <w:tcW w:w="954" w:type="dxa"/>
                  <w:tcBorders>
                    <w:top w:val="nil"/>
                    <w:left w:val="nil"/>
                    <w:bottom w:val="single" w:sz="4" w:space="0" w:color="auto"/>
                    <w:right w:val="single" w:sz="4" w:space="0" w:color="auto"/>
                  </w:tcBorders>
                  <w:shd w:val="clear" w:color="auto" w:fill="auto"/>
                  <w:noWrap/>
                  <w:vAlign w:val="bottom"/>
                  <w:hideMark/>
                </w:tcPr>
                <w:p w14:paraId="3844D6E1" w14:textId="77777777" w:rsidR="00C91AAE" w:rsidRPr="00C91AAE" w:rsidRDefault="00C91AAE" w:rsidP="00C91AAE">
                  <w:pPr>
                    <w:rPr>
                      <w:rFonts w:cstheme="minorHAnsi"/>
                      <w:b/>
                      <w:bCs/>
                      <w:szCs w:val="24"/>
                    </w:rPr>
                  </w:pPr>
                  <w:r w:rsidRPr="00C91AAE">
                    <w:rPr>
                      <w:rFonts w:cstheme="minorHAnsi"/>
                      <w:b/>
                      <w:bCs/>
                      <w:szCs w:val="24"/>
                    </w:rPr>
                    <w:t xml:space="preserve"> £    24.26 </w:t>
                  </w:r>
                </w:p>
              </w:tc>
              <w:tc>
                <w:tcPr>
                  <w:tcW w:w="954" w:type="dxa"/>
                  <w:tcBorders>
                    <w:top w:val="nil"/>
                    <w:left w:val="nil"/>
                    <w:bottom w:val="single" w:sz="4" w:space="0" w:color="auto"/>
                    <w:right w:val="single" w:sz="4" w:space="0" w:color="auto"/>
                  </w:tcBorders>
                  <w:shd w:val="clear" w:color="auto" w:fill="auto"/>
                  <w:noWrap/>
                  <w:vAlign w:val="bottom"/>
                  <w:hideMark/>
                </w:tcPr>
                <w:p w14:paraId="43F4478F" w14:textId="77777777" w:rsidR="00C91AAE" w:rsidRPr="00C91AAE" w:rsidRDefault="00C91AAE" w:rsidP="00C91AAE">
                  <w:pPr>
                    <w:rPr>
                      <w:rFonts w:cstheme="minorHAnsi"/>
                      <w:b/>
                      <w:bCs/>
                      <w:szCs w:val="24"/>
                    </w:rPr>
                  </w:pPr>
                  <w:r w:rsidRPr="00C91AAE">
                    <w:rPr>
                      <w:rFonts w:cstheme="minorHAnsi"/>
                      <w:b/>
                      <w:bCs/>
                      <w:szCs w:val="24"/>
                    </w:rPr>
                    <w:t xml:space="preserve"> £    24.46 </w:t>
                  </w:r>
                </w:p>
              </w:tc>
              <w:tc>
                <w:tcPr>
                  <w:tcW w:w="1047" w:type="dxa"/>
                  <w:tcBorders>
                    <w:top w:val="nil"/>
                    <w:left w:val="nil"/>
                    <w:bottom w:val="single" w:sz="4" w:space="0" w:color="auto"/>
                    <w:right w:val="single" w:sz="4" w:space="0" w:color="auto"/>
                  </w:tcBorders>
                  <w:shd w:val="clear" w:color="auto" w:fill="auto"/>
                  <w:noWrap/>
                  <w:vAlign w:val="bottom"/>
                  <w:hideMark/>
                </w:tcPr>
                <w:p w14:paraId="0D6A2047" w14:textId="77777777" w:rsidR="00C91AAE" w:rsidRPr="00C91AAE" w:rsidRDefault="00C91AAE" w:rsidP="00C91AAE">
                  <w:pPr>
                    <w:rPr>
                      <w:rFonts w:cstheme="minorHAnsi"/>
                      <w:b/>
                      <w:bCs/>
                      <w:szCs w:val="24"/>
                    </w:rPr>
                  </w:pPr>
                  <w:r w:rsidRPr="00C91AAE">
                    <w:rPr>
                      <w:rFonts w:cstheme="minorHAnsi"/>
                      <w:b/>
                      <w:bCs/>
                      <w:szCs w:val="24"/>
                    </w:rPr>
                    <w:t>2.72%</w:t>
                  </w:r>
                </w:p>
              </w:tc>
              <w:tc>
                <w:tcPr>
                  <w:tcW w:w="1123" w:type="dxa"/>
                  <w:tcBorders>
                    <w:top w:val="nil"/>
                    <w:left w:val="nil"/>
                    <w:bottom w:val="single" w:sz="4" w:space="0" w:color="auto"/>
                    <w:right w:val="single" w:sz="4" w:space="0" w:color="auto"/>
                  </w:tcBorders>
                  <w:shd w:val="clear" w:color="auto" w:fill="auto"/>
                  <w:noWrap/>
                  <w:vAlign w:val="bottom"/>
                  <w:hideMark/>
                </w:tcPr>
                <w:p w14:paraId="3B6509C7" w14:textId="77777777" w:rsidR="00C91AAE" w:rsidRPr="00C91AAE" w:rsidRDefault="00C91AAE" w:rsidP="00C91AAE">
                  <w:pPr>
                    <w:rPr>
                      <w:rFonts w:cstheme="minorHAnsi"/>
                      <w:b/>
                      <w:bCs/>
                      <w:szCs w:val="24"/>
                    </w:rPr>
                  </w:pPr>
                  <w:r w:rsidRPr="00C91AAE">
                    <w:rPr>
                      <w:rFonts w:cstheme="minorHAnsi"/>
                      <w:b/>
                      <w:bCs/>
                      <w:szCs w:val="24"/>
                    </w:rPr>
                    <w:t>6.30%</w:t>
                  </w:r>
                </w:p>
              </w:tc>
            </w:tr>
            <w:tr w:rsidR="00C91AAE" w:rsidRPr="00C91AAE" w14:paraId="2B0552F2" w14:textId="77777777" w:rsidTr="003352D5">
              <w:trPr>
                <w:trHeight w:val="281"/>
              </w:trPr>
              <w:tc>
                <w:tcPr>
                  <w:tcW w:w="3294" w:type="dxa"/>
                  <w:tcBorders>
                    <w:top w:val="nil"/>
                    <w:left w:val="single" w:sz="4" w:space="0" w:color="auto"/>
                    <w:bottom w:val="single" w:sz="4" w:space="0" w:color="auto"/>
                    <w:right w:val="single" w:sz="4" w:space="0" w:color="auto"/>
                  </w:tcBorders>
                  <w:shd w:val="clear" w:color="auto" w:fill="auto"/>
                  <w:noWrap/>
                  <w:vAlign w:val="bottom"/>
                  <w:hideMark/>
                </w:tcPr>
                <w:p w14:paraId="3E13CE0B" w14:textId="77777777" w:rsidR="00C91AAE" w:rsidRPr="00C91AAE" w:rsidRDefault="00C91AAE" w:rsidP="00C91AAE">
                  <w:pPr>
                    <w:rPr>
                      <w:rFonts w:cstheme="minorHAnsi"/>
                      <w:b/>
                      <w:bCs/>
                      <w:szCs w:val="24"/>
                    </w:rPr>
                  </w:pPr>
                  <w:r w:rsidRPr="00C91AAE">
                    <w:rPr>
                      <w:rFonts w:cstheme="minorHAnsi"/>
                      <w:b/>
                      <w:bCs/>
                      <w:szCs w:val="24"/>
                    </w:rPr>
                    <w:t>Bands 8-9</w:t>
                  </w:r>
                </w:p>
              </w:tc>
              <w:tc>
                <w:tcPr>
                  <w:tcW w:w="1272" w:type="dxa"/>
                  <w:tcBorders>
                    <w:top w:val="nil"/>
                    <w:left w:val="nil"/>
                    <w:bottom w:val="single" w:sz="4" w:space="0" w:color="auto"/>
                    <w:right w:val="single" w:sz="4" w:space="0" w:color="auto"/>
                  </w:tcBorders>
                  <w:shd w:val="clear" w:color="auto" w:fill="auto"/>
                  <w:noWrap/>
                  <w:vAlign w:val="bottom"/>
                  <w:hideMark/>
                </w:tcPr>
                <w:p w14:paraId="18D45A09" w14:textId="77777777" w:rsidR="00C91AAE" w:rsidRPr="00C91AAE" w:rsidRDefault="00C91AAE" w:rsidP="00C91AAE">
                  <w:pPr>
                    <w:rPr>
                      <w:rFonts w:cstheme="minorHAnsi"/>
                      <w:b/>
                      <w:bCs/>
                      <w:szCs w:val="24"/>
                    </w:rPr>
                  </w:pPr>
                  <w:r w:rsidRPr="00C91AAE">
                    <w:rPr>
                      <w:rFonts w:cstheme="minorHAnsi"/>
                      <w:b/>
                      <w:bCs/>
                      <w:szCs w:val="24"/>
                    </w:rPr>
                    <w:t xml:space="preserve"> £           34.02 </w:t>
                  </w:r>
                </w:p>
              </w:tc>
              <w:tc>
                <w:tcPr>
                  <w:tcW w:w="1198" w:type="dxa"/>
                  <w:tcBorders>
                    <w:top w:val="nil"/>
                    <w:left w:val="nil"/>
                    <w:bottom w:val="single" w:sz="4" w:space="0" w:color="auto"/>
                    <w:right w:val="single" w:sz="4" w:space="0" w:color="auto"/>
                  </w:tcBorders>
                  <w:shd w:val="clear" w:color="auto" w:fill="auto"/>
                  <w:noWrap/>
                  <w:vAlign w:val="bottom"/>
                  <w:hideMark/>
                </w:tcPr>
                <w:p w14:paraId="258EBD2C" w14:textId="77777777" w:rsidR="00C91AAE" w:rsidRPr="00C91AAE" w:rsidRDefault="00C91AAE" w:rsidP="00C91AAE">
                  <w:pPr>
                    <w:rPr>
                      <w:rFonts w:cstheme="minorHAnsi"/>
                      <w:b/>
                      <w:bCs/>
                      <w:szCs w:val="24"/>
                    </w:rPr>
                  </w:pPr>
                  <w:r w:rsidRPr="00C91AAE">
                    <w:rPr>
                      <w:rFonts w:cstheme="minorHAnsi"/>
                      <w:b/>
                      <w:bCs/>
                      <w:szCs w:val="24"/>
                    </w:rPr>
                    <w:t xml:space="preserve"> £         31.90 </w:t>
                  </w:r>
                </w:p>
              </w:tc>
              <w:tc>
                <w:tcPr>
                  <w:tcW w:w="954" w:type="dxa"/>
                  <w:tcBorders>
                    <w:top w:val="nil"/>
                    <w:left w:val="nil"/>
                    <w:bottom w:val="single" w:sz="4" w:space="0" w:color="auto"/>
                    <w:right w:val="single" w:sz="4" w:space="0" w:color="auto"/>
                  </w:tcBorders>
                  <w:shd w:val="clear" w:color="auto" w:fill="auto"/>
                  <w:noWrap/>
                  <w:vAlign w:val="bottom"/>
                  <w:hideMark/>
                </w:tcPr>
                <w:p w14:paraId="6FFC19C6" w14:textId="77777777" w:rsidR="00C91AAE" w:rsidRPr="00C91AAE" w:rsidRDefault="00C91AAE" w:rsidP="00C91AAE">
                  <w:pPr>
                    <w:rPr>
                      <w:rFonts w:cstheme="minorHAnsi"/>
                      <w:b/>
                      <w:bCs/>
                      <w:szCs w:val="24"/>
                    </w:rPr>
                  </w:pPr>
                  <w:r w:rsidRPr="00C91AAE">
                    <w:rPr>
                      <w:rFonts w:cstheme="minorHAnsi"/>
                      <w:b/>
                      <w:bCs/>
                      <w:szCs w:val="24"/>
                    </w:rPr>
                    <w:t xml:space="preserve"> £    39.62 </w:t>
                  </w:r>
                </w:p>
              </w:tc>
              <w:tc>
                <w:tcPr>
                  <w:tcW w:w="954" w:type="dxa"/>
                  <w:tcBorders>
                    <w:top w:val="nil"/>
                    <w:left w:val="nil"/>
                    <w:bottom w:val="single" w:sz="4" w:space="0" w:color="auto"/>
                    <w:right w:val="single" w:sz="4" w:space="0" w:color="auto"/>
                  </w:tcBorders>
                  <w:shd w:val="clear" w:color="auto" w:fill="auto"/>
                  <w:noWrap/>
                  <w:vAlign w:val="bottom"/>
                  <w:hideMark/>
                </w:tcPr>
                <w:p w14:paraId="3575A423" w14:textId="77777777" w:rsidR="00C91AAE" w:rsidRPr="00C91AAE" w:rsidRDefault="00C91AAE" w:rsidP="00C91AAE">
                  <w:pPr>
                    <w:rPr>
                      <w:rFonts w:cstheme="minorHAnsi"/>
                      <w:b/>
                      <w:bCs/>
                      <w:szCs w:val="24"/>
                    </w:rPr>
                  </w:pPr>
                  <w:r w:rsidRPr="00C91AAE">
                    <w:rPr>
                      <w:rFonts w:cstheme="minorHAnsi"/>
                      <w:b/>
                      <w:bCs/>
                      <w:szCs w:val="24"/>
                    </w:rPr>
                    <w:t xml:space="preserve"> £    34.12 </w:t>
                  </w:r>
                </w:p>
              </w:tc>
              <w:tc>
                <w:tcPr>
                  <w:tcW w:w="1047" w:type="dxa"/>
                  <w:tcBorders>
                    <w:top w:val="nil"/>
                    <w:left w:val="nil"/>
                    <w:bottom w:val="single" w:sz="4" w:space="0" w:color="auto"/>
                    <w:right w:val="single" w:sz="4" w:space="0" w:color="auto"/>
                  </w:tcBorders>
                  <w:shd w:val="clear" w:color="auto" w:fill="auto"/>
                  <w:noWrap/>
                  <w:vAlign w:val="bottom"/>
                  <w:hideMark/>
                </w:tcPr>
                <w:p w14:paraId="7D269912" w14:textId="77777777" w:rsidR="00C91AAE" w:rsidRPr="00C91AAE" w:rsidRDefault="00C91AAE" w:rsidP="00C91AAE">
                  <w:pPr>
                    <w:rPr>
                      <w:rFonts w:cstheme="minorHAnsi"/>
                      <w:b/>
                      <w:bCs/>
                      <w:szCs w:val="24"/>
                    </w:rPr>
                  </w:pPr>
                  <w:r w:rsidRPr="00C91AAE">
                    <w:rPr>
                      <w:rFonts w:cstheme="minorHAnsi"/>
                      <w:b/>
                      <w:bCs/>
                      <w:szCs w:val="24"/>
                    </w:rPr>
                    <w:t>14.11%</w:t>
                  </w:r>
                </w:p>
              </w:tc>
              <w:tc>
                <w:tcPr>
                  <w:tcW w:w="1123" w:type="dxa"/>
                  <w:tcBorders>
                    <w:top w:val="nil"/>
                    <w:left w:val="nil"/>
                    <w:bottom w:val="single" w:sz="4" w:space="0" w:color="auto"/>
                    <w:right w:val="single" w:sz="4" w:space="0" w:color="auto"/>
                  </w:tcBorders>
                  <w:shd w:val="clear" w:color="auto" w:fill="auto"/>
                  <w:noWrap/>
                  <w:vAlign w:val="bottom"/>
                  <w:hideMark/>
                </w:tcPr>
                <w:p w14:paraId="4CCB36E2" w14:textId="77777777" w:rsidR="00C91AAE" w:rsidRPr="00C91AAE" w:rsidRDefault="00C91AAE" w:rsidP="00C91AAE">
                  <w:pPr>
                    <w:rPr>
                      <w:rFonts w:cstheme="minorHAnsi"/>
                      <w:b/>
                      <w:bCs/>
                      <w:szCs w:val="24"/>
                    </w:rPr>
                  </w:pPr>
                  <w:r w:rsidRPr="00C91AAE">
                    <w:rPr>
                      <w:rFonts w:cstheme="minorHAnsi"/>
                      <w:b/>
                      <w:bCs/>
                      <w:szCs w:val="24"/>
                    </w:rPr>
                    <w:t>6.50%</w:t>
                  </w:r>
                </w:p>
              </w:tc>
            </w:tr>
            <w:tr w:rsidR="00C91AAE" w:rsidRPr="00C91AAE" w14:paraId="417A9148" w14:textId="77777777" w:rsidTr="003352D5">
              <w:trPr>
                <w:trHeight w:val="281"/>
              </w:trPr>
              <w:tc>
                <w:tcPr>
                  <w:tcW w:w="3294" w:type="dxa"/>
                  <w:tcBorders>
                    <w:top w:val="nil"/>
                    <w:left w:val="single" w:sz="4" w:space="0" w:color="auto"/>
                    <w:bottom w:val="single" w:sz="4" w:space="0" w:color="auto"/>
                    <w:right w:val="single" w:sz="4" w:space="0" w:color="auto"/>
                  </w:tcBorders>
                  <w:shd w:val="clear" w:color="auto" w:fill="auto"/>
                  <w:vAlign w:val="bottom"/>
                  <w:hideMark/>
                </w:tcPr>
                <w:p w14:paraId="064BD566" w14:textId="77777777" w:rsidR="00C91AAE" w:rsidRPr="00C91AAE" w:rsidRDefault="00C91AAE" w:rsidP="00C91AAE">
                  <w:pPr>
                    <w:rPr>
                      <w:rFonts w:cstheme="minorHAnsi"/>
                      <w:b/>
                      <w:bCs/>
                      <w:szCs w:val="24"/>
                    </w:rPr>
                  </w:pPr>
                  <w:r w:rsidRPr="00C91AAE">
                    <w:rPr>
                      <w:rFonts w:cstheme="minorHAnsi"/>
                      <w:b/>
                      <w:bCs/>
                      <w:szCs w:val="24"/>
                    </w:rPr>
                    <w:t>Medical Staffing</w:t>
                  </w:r>
                </w:p>
              </w:tc>
              <w:tc>
                <w:tcPr>
                  <w:tcW w:w="1272" w:type="dxa"/>
                  <w:tcBorders>
                    <w:top w:val="nil"/>
                    <w:left w:val="nil"/>
                    <w:bottom w:val="single" w:sz="4" w:space="0" w:color="auto"/>
                    <w:right w:val="single" w:sz="4" w:space="0" w:color="auto"/>
                  </w:tcBorders>
                  <w:shd w:val="clear" w:color="auto" w:fill="auto"/>
                  <w:noWrap/>
                  <w:vAlign w:val="bottom"/>
                  <w:hideMark/>
                </w:tcPr>
                <w:p w14:paraId="26466879" w14:textId="77777777" w:rsidR="00C91AAE" w:rsidRPr="00C91AAE" w:rsidRDefault="00C91AAE" w:rsidP="00C91AAE">
                  <w:pPr>
                    <w:rPr>
                      <w:rFonts w:cstheme="minorHAnsi"/>
                      <w:b/>
                      <w:bCs/>
                      <w:szCs w:val="24"/>
                    </w:rPr>
                  </w:pPr>
                  <w:r w:rsidRPr="00C91AAE">
                    <w:rPr>
                      <w:rFonts w:cstheme="minorHAnsi"/>
                      <w:b/>
                      <w:bCs/>
                      <w:szCs w:val="24"/>
                    </w:rPr>
                    <w:t xml:space="preserve"> £           46.42 </w:t>
                  </w:r>
                </w:p>
              </w:tc>
              <w:tc>
                <w:tcPr>
                  <w:tcW w:w="1198" w:type="dxa"/>
                  <w:tcBorders>
                    <w:top w:val="nil"/>
                    <w:left w:val="nil"/>
                    <w:bottom w:val="single" w:sz="4" w:space="0" w:color="auto"/>
                    <w:right w:val="single" w:sz="4" w:space="0" w:color="auto"/>
                  </w:tcBorders>
                  <w:shd w:val="clear" w:color="auto" w:fill="auto"/>
                  <w:noWrap/>
                  <w:vAlign w:val="bottom"/>
                  <w:hideMark/>
                </w:tcPr>
                <w:p w14:paraId="7622A932" w14:textId="77777777" w:rsidR="00C91AAE" w:rsidRPr="00C91AAE" w:rsidRDefault="00C91AAE" w:rsidP="00C91AAE">
                  <w:pPr>
                    <w:rPr>
                      <w:rFonts w:cstheme="minorHAnsi"/>
                      <w:b/>
                      <w:bCs/>
                      <w:szCs w:val="24"/>
                    </w:rPr>
                  </w:pPr>
                  <w:r w:rsidRPr="00C91AAE">
                    <w:rPr>
                      <w:rFonts w:cstheme="minorHAnsi"/>
                      <w:b/>
                      <w:bCs/>
                      <w:szCs w:val="24"/>
                    </w:rPr>
                    <w:t xml:space="preserve"> £         49.24 </w:t>
                  </w:r>
                </w:p>
              </w:tc>
              <w:tc>
                <w:tcPr>
                  <w:tcW w:w="954" w:type="dxa"/>
                  <w:tcBorders>
                    <w:top w:val="nil"/>
                    <w:left w:val="nil"/>
                    <w:bottom w:val="single" w:sz="4" w:space="0" w:color="auto"/>
                    <w:right w:val="single" w:sz="4" w:space="0" w:color="auto"/>
                  </w:tcBorders>
                  <w:shd w:val="clear" w:color="auto" w:fill="auto"/>
                  <w:noWrap/>
                  <w:vAlign w:val="bottom"/>
                  <w:hideMark/>
                </w:tcPr>
                <w:p w14:paraId="2AC1C8B2" w14:textId="77777777" w:rsidR="00C91AAE" w:rsidRPr="00C91AAE" w:rsidRDefault="00C91AAE" w:rsidP="00C91AAE">
                  <w:pPr>
                    <w:rPr>
                      <w:rFonts w:cstheme="minorHAnsi"/>
                      <w:b/>
                      <w:bCs/>
                      <w:szCs w:val="24"/>
                    </w:rPr>
                  </w:pPr>
                  <w:r w:rsidRPr="00C91AAE">
                    <w:rPr>
                      <w:rFonts w:cstheme="minorHAnsi"/>
                      <w:b/>
                      <w:bCs/>
                      <w:szCs w:val="24"/>
                    </w:rPr>
                    <w:t xml:space="preserve"> £    51.58 </w:t>
                  </w:r>
                </w:p>
              </w:tc>
              <w:tc>
                <w:tcPr>
                  <w:tcW w:w="954" w:type="dxa"/>
                  <w:tcBorders>
                    <w:top w:val="nil"/>
                    <w:left w:val="nil"/>
                    <w:bottom w:val="single" w:sz="4" w:space="0" w:color="auto"/>
                    <w:right w:val="single" w:sz="4" w:space="0" w:color="auto"/>
                  </w:tcBorders>
                  <w:shd w:val="clear" w:color="auto" w:fill="auto"/>
                  <w:noWrap/>
                  <w:vAlign w:val="bottom"/>
                  <w:hideMark/>
                </w:tcPr>
                <w:p w14:paraId="673D0CEF" w14:textId="77777777" w:rsidR="00C91AAE" w:rsidRPr="00C91AAE" w:rsidRDefault="00C91AAE" w:rsidP="00C91AAE">
                  <w:pPr>
                    <w:rPr>
                      <w:rFonts w:cstheme="minorHAnsi"/>
                      <w:b/>
                      <w:bCs/>
                      <w:szCs w:val="24"/>
                    </w:rPr>
                  </w:pPr>
                  <w:r w:rsidRPr="00C91AAE">
                    <w:rPr>
                      <w:rFonts w:cstheme="minorHAnsi"/>
                      <w:b/>
                      <w:bCs/>
                      <w:szCs w:val="24"/>
                    </w:rPr>
                    <w:t xml:space="preserve"> £    52.99 </w:t>
                  </w:r>
                </w:p>
              </w:tc>
              <w:tc>
                <w:tcPr>
                  <w:tcW w:w="1047" w:type="dxa"/>
                  <w:tcBorders>
                    <w:top w:val="nil"/>
                    <w:left w:val="nil"/>
                    <w:bottom w:val="single" w:sz="4" w:space="0" w:color="auto"/>
                    <w:right w:val="single" w:sz="4" w:space="0" w:color="auto"/>
                  </w:tcBorders>
                  <w:shd w:val="clear" w:color="auto" w:fill="auto"/>
                  <w:noWrap/>
                  <w:vAlign w:val="bottom"/>
                  <w:hideMark/>
                </w:tcPr>
                <w:p w14:paraId="2C26167A" w14:textId="77777777" w:rsidR="00C91AAE" w:rsidRPr="00C91AAE" w:rsidRDefault="00C91AAE" w:rsidP="00C91AAE">
                  <w:pPr>
                    <w:rPr>
                      <w:rFonts w:cstheme="minorHAnsi"/>
                      <w:b/>
                      <w:bCs/>
                      <w:szCs w:val="24"/>
                    </w:rPr>
                  </w:pPr>
                  <w:r w:rsidRPr="00C91AAE">
                    <w:rPr>
                      <w:rFonts w:cstheme="minorHAnsi"/>
                      <w:b/>
                      <w:bCs/>
                      <w:szCs w:val="24"/>
                    </w:rPr>
                    <w:t>9.99%</w:t>
                  </w:r>
                </w:p>
              </w:tc>
              <w:tc>
                <w:tcPr>
                  <w:tcW w:w="1123" w:type="dxa"/>
                  <w:tcBorders>
                    <w:top w:val="nil"/>
                    <w:left w:val="nil"/>
                    <w:bottom w:val="single" w:sz="4" w:space="0" w:color="auto"/>
                    <w:right w:val="single" w:sz="4" w:space="0" w:color="auto"/>
                  </w:tcBorders>
                  <w:shd w:val="clear" w:color="auto" w:fill="auto"/>
                  <w:noWrap/>
                  <w:vAlign w:val="bottom"/>
                  <w:hideMark/>
                </w:tcPr>
                <w:p w14:paraId="4C38FE24" w14:textId="77777777" w:rsidR="00C91AAE" w:rsidRPr="00C91AAE" w:rsidRDefault="00C91AAE" w:rsidP="00C91AAE">
                  <w:pPr>
                    <w:rPr>
                      <w:rFonts w:cstheme="minorHAnsi"/>
                      <w:b/>
                      <w:bCs/>
                      <w:szCs w:val="24"/>
                    </w:rPr>
                  </w:pPr>
                  <w:r w:rsidRPr="00C91AAE">
                    <w:rPr>
                      <w:rFonts w:cstheme="minorHAnsi"/>
                      <w:b/>
                      <w:bCs/>
                      <w:szCs w:val="24"/>
                    </w:rPr>
                    <w:t>7.08%</w:t>
                  </w:r>
                </w:p>
              </w:tc>
            </w:tr>
          </w:tbl>
          <w:p w14:paraId="162447B5" w14:textId="77777777" w:rsidR="00C91AAE" w:rsidRPr="00C91AAE" w:rsidRDefault="00C91AAE" w:rsidP="00C91AAE">
            <w:pPr>
              <w:rPr>
                <w:rFonts w:cstheme="minorHAnsi"/>
                <w:b/>
                <w:bCs/>
                <w:szCs w:val="24"/>
                <w:lang w:val="en-US"/>
              </w:rPr>
            </w:pPr>
            <w:r w:rsidRPr="00C91AAE">
              <w:rPr>
                <w:rFonts w:cstheme="minorHAnsi"/>
                <w:b/>
                <w:bCs/>
                <w:szCs w:val="24"/>
                <w:lang w:val="en-US"/>
              </w:rPr>
              <w:t xml:space="preserve">      Table 7: Pay by Ethnicity, analysed by pay band groupings as of 31 March 2024</w:t>
            </w:r>
          </w:p>
          <w:p w14:paraId="08DFA859" w14:textId="77777777" w:rsidR="00C91AAE" w:rsidRPr="00C91AAE" w:rsidRDefault="00C91AAE" w:rsidP="00C91AAE">
            <w:pPr>
              <w:rPr>
                <w:rFonts w:cstheme="minorHAnsi"/>
                <w:b/>
                <w:bCs/>
                <w:szCs w:val="24"/>
                <w:lang w:val="en-US"/>
              </w:rPr>
            </w:pPr>
            <w:r w:rsidRPr="00C91AAE">
              <w:rPr>
                <w:rFonts w:cstheme="minorHAnsi"/>
                <w:b/>
                <w:bCs/>
                <w:szCs w:val="24"/>
                <w:lang w:val="en-US"/>
              </w:rPr>
              <w:t xml:space="preserve">       </w:t>
            </w:r>
          </w:p>
          <w:p w14:paraId="074A1DA6" w14:textId="77777777" w:rsidR="00C91AAE" w:rsidRPr="00C91AAE" w:rsidRDefault="00C91AAE" w:rsidP="00C91AAE">
            <w:pPr>
              <w:numPr>
                <w:ilvl w:val="1"/>
                <w:numId w:val="14"/>
              </w:numPr>
              <w:rPr>
                <w:rFonts w:cstheme="minorHAnsi"/>
                <w:szCs w:val="24"/>
              </w:rPr>
            </w:pPr>
            <w:r w:rsidRPr="00C91AAE">
              <w:rPr>
                <w:rFonts w:cstheme="minorHAnsi"/>
                <w:i/>
                <w:iCs/>
                <w:szCs w:val="24"/>
                <w:lang w:val="en-US"/>
              </w:rPr>
              <w:t>2023 Vs 2024 Trend Analysis</w:t>
            </w:r>
            <w:r w:rsidRPr="00C91AAE">
              <w:rPr>
                <w:rFonts w:cstheme="minorHAnsi"/>
                <w:szCs w:val="24"/>
                <w:lang w:val="en-US"/>
              </w:rPr>
              <w:t xml:space="preserve"> - </w:t>
            </w:r>
            <w:r w:rsidRPr="00C91AAE">
              <w:rPr>
                <w:rFonts w:cstheme="minorHAnsi"/>
                <w:szCs w:val="24"/>
              </w:rPr>
              <w:t>In 2023, the Mean Ethnicity Pay Gap (EPG) was highest in Bands 8–9 (9.93%) and Medical Staffing (9.01%), highlighting significant disparities in senior roles. The Median EPG peaked at 14.87% for Medical Staffing, reinforcing the underrepresentation of BME staff in higher-paid positions. By 2024, the Mean EPG increased across all bands, reaching 14.11% in Bands 8–9 and 9.99% in Medical Staffing, indicating a widening gap in senior roles. The Median EPG decreased slightly in Medical Staffing (7.08%), but disparities persist, particularly at higher levels, emphasising the need for continued efforts to improve pay equity and career progression for BME staff.</w:t>
            </w:r>
          </w:p>
          <w:p w14:paraId="41602F70" w14:textId="77777777" w:rsidR="00C91AAE" w:rsidRPr="00C91AAE" w:rsidRDefault="00C91AAE" w:rsidP="00C91AAE">
            <w:pPr>
              <w:rPr>
                <w:rFonts w:cstheme="minorHAnsi"/>
                <w:b/>
                <w:bCs/>
                <w:szCs w:val="24"/>
                <w:lang w:val="en-US"/>
              </w:rPr>
            </w:pPr>
          </w:p>
          <w:tbl>
            <w:tblPr>
              <w:tblpPr w:leftFromText="180" w:rightFromText="180" w:vertAnchor="text" w:horzAnchor="margin" w:tblpXSpec="center" w:tblpY="63"/>
              <w:tblW w:w="9781" w:type="dxa"/>
              <w:tblLook w:val="04A0" w:firstRow="1" w:lastRow="0" w:firstColumn="1" w:lastColumn="0" w:noHBand="0" w:noVBand="1"/>
            </w:tblPr>
            <w:tblGrid>
              <w:gridCol w:w="1985"/>
              <w:gridCol w:w="1417"/>
              <w:gridCol w:w="1418"/>
              <w:gridCol w:w="1417"/>
              <w:gridCol w:w="1418"/>
              <w:gridCol w:w="992"/>
              <w:gridCol w:w="1134"/>
            </w:tblGrid>
            <w:tr w:rsidR="00C91AAE" w:rsidRPr="00C91AAE" w14:paraId="3BE08DDE" w14:textId="77777777" w:rsidTr="003352D5">
              <w:trPr>
                <w:trHeight w:val="288"/>
              </w:trPr>
              <w:tc>
                <w:tcPr>
                  <w:tcW w:w="1985" w:type="dxa"/>
                  <w:vMerge w:val="restart"/>
                  <w:tcBorders>
                    <w:top w:val="single" w:sz="4" w:space="0" w:color="auto"/>
                    <w:left w:val="single" w:sz="4" w:space="0" w:color="auto"/>
                    <w:bottom w:val="single" w:sz="4" w:space="0" w:color="auto"/>
                    <w:right w:val="single" w:sz="4" w:space="0" w:color="auto"/>
                  </w:tcBorders>
                  <w:shd w:val="clear" w:color="auto" w:fill="8EA9DB"/>
                  <w:vAlign w:val="bottom"/>
                  <w:hideMark/>
                </w:tcPr>
                <w:p w14:paraId="2208B621" w14:textId="77777777" w:rsidR="00C91AAE" w:rsidRPr="00C91AAE" w:rsidRDefault="00C91AAE" w:rsidP="00C91AAE">
                  <w:pPr>
                    <w:rPr>
                      <w:rFonts w:cstheme="minorHAnsi"/>
                      <w:b/>
                      <w:bCs/>
                      <w:szCs w:val="24"/>
                    </w:rPr>
                  </w:pPr>
                  <w:r w:rsidRPr="00C91AAE">
                    <w:rPr>
                      <w:rFonts w:cstheme="minorHAnsi"/>
                      <w:b/>
                      <w:bCs/>
                      <w:szCs w:val="24"/>
                    </w:rPr>
                    <w:t xml:space="preserve">Band Groupings </w:t>
                  </w:r>
                </w:p>
              </w:tc>
              <w:tc>
                <w:tcPr>
                  <w:tcW w:w="2835" w:type="dxa"/>
                  <w:gridSpan w:val="2"/>
                  <w:tcBorders>
                    <w:top w:val="single" w:sz="4" w:space="0" w:color="auto"/>
                    <w:left w:val="nil"/>
                    <w:bottom w:val="single" w:sz="4" w:space="0" w:color="auto"/>
                    <w:right w:val="single" w:sz="4" w:space="0" w:color="auto"/>
                  </w:tcBorders>
                  <w:shd w:val="clear" w:color="auto" w:fill="8EA9DB"/>
                  <w:noWrap/>
                  <w:vAlign w:val="bottom"/>
                  <w:hideMark/>
                </w:tcPr>
                <w:p w14:paraId="433FCCAE" w14:textId="77777777" w:rsidR="00C91AAE" w:rsidRPr="00C91AAE" w:rsidRDefault="00C91AAE" w:rsidP="00C91AAE">
                  <w:pPr>
                    <w:rPr>
                      <w:rFonts w:cstheme="minorHAnsi"/>
                      <w:b/>
                      <w:bCs/>
                      <w:szCs w:val="24"/>
                    </w:rPr>
                  </w:pPr>
                  <w:r w:rsidRPr="00C91AAE">
                    <w:rPr>
                      <w:rFonts w:cstheme="minorHAnsi"/>
                      <w:b/>
                      <w:bCs/>
                      <w:szCs w:val="24"/>
                    </w:rPr>
                    <w:t>BME</w:t>
                  </w:r>
                </w:p>
              </w:tc>
              <w:tc>
                <w:tcPr>
                  <w:tcW w:w="2835" w:type="dxa"/>
                  <w:gridSpan w:val="2"/>
                  <w:tcBorders>
                    <w:top w:val="single" w:sz="4" w:space="0" w:color="auto"/>
                    <w:left w:val="nil"/>
                    <w:bottom w:val="single" w:sz="4" w:space="0" w:color="auto"/>
                    <w:right w:val="single" w:sz="4" w:space="0" w:color="auto"/>
                  </w:tcBorders>
                  <w:shd w:val="clear" w:color="auto" w:fill="8EA9DB"/>
                  <w:noWrap/>
                  <w:vAlign w:val="bottom"/>
                  <w:hideMark/>
                </w:tcPr>
                <w:p w14:paraId="019C0E00" w14:textId="77777777" w:rsidR="00C91AAE" w:rsidRPr="00C91AAE" w:rsidRDefault="00C91AAE" w:rsidP="00C91AAE">
                  <w:pPr>
                    <w:rPr>
                      <w:rFonts w:cstheme="minorHAnsi"/>
                      <w:b/>
                      <w:bCs/>
                      <w:szCs w:val="24"/>
                    </w:rPr>
                  </w:pPr>
                  <w:r w:rsidRPr="00C91AAE">
                    <w:rPr>
                      <w:rFonts w:cstheme="minorHAnsi"/>
                      <w:b/>
                      <w:bCs/>
                      <w:szCs w:val="24"/>
                    </w:rPr>
                    <w:t>WHITE</w:t>
                  </w:r>
                </w:p>
              </w:tc>
              <w:tc>
                <w:tcPr>
                  <w:tcW w:w="2126" w:type="dxa"/>
                  <w:gridSpan w:val="2"/>
                  <w:tcBorders>
                    <w:top w:val="single" w:sz="4" w:space="0" w:color="auto"/>
                    <w:left w:val="nil"/>
                    <w:bottom w:val="single" w:sz="4" w:space="0" w:color="auto"/>
                    <w:right w:val="single" w:sz="4" w:space="0" w:color="auto"/>
                  </w:tcBorders>
                  <w:shd w:val="clear" w:color="auto" w:fill="8EA9DB"/>
                  <w:noWrap/>
                  <w:vAlign w:val="bottom"/>
                  <w:hideMark/>
                </w:tcPr>
                <w:p w14:paraId="5AD1C0DC" w14:textId="77777777" w:rsidR="00C91AAE" w:rsidRPr="00C91AAE" w:rsidRDefault="00C91AAE" w:rsidP="00C91AAE">
                  <w:pPr>
                    <w:rPr>
                      <w:rFonts w:cstheme="minorHAnsi"/>
                      <w:b/>
                      <w:bCs/>
                      <w:szCs w:val="24"/>
                    </w:rPr>
                  </w:pPr>
                  <w:r w:rsidRPr="00C91AAE">
                    <w:rPr>
                      <w:rFonts w:cstheme="minorHAnsi"/>
                      <w:b/>
                      <w:bCs/>
                      <w:szCs w:val="24"/>
                    </w:rPr>
                    <w:t>EPG</w:t>
                  </w:r>
                </w:p>
              </w:tc>
            </w:tr>
            <w:tr w:rsidR="00C91AAE" w:rsidRPr="00C91AAE" w14:paraId="448DA3CF" w14:textId="77777777" w:rsidTr="003352D5">
              <w:trPr>
                <w:trHeight w:val="864"/>
              </w:trPr>
              <w:tc>
                <w:tcPr>
                  <w:tcW w:w="1985" w:type="dxa"/>
                  <w:vMerge/>
                  <w:tcBorders>
                    <w:top w:val="single" w:sz="4" w:space="0" w:color="auto"/>
                    <w:left w:val="single" w:sz="4" w:space="0" w:color="auto"/>
                    <w:bottom w:val="single" w:sz="4" w:space="0" w:color="auto"/>
                    <w:right w:val="single" w:sz="4" w:space="0" w:color="auto"/>
                  </w:tcBorders>
                  <w:shd w:val="clear" w:color="auto" w:fill="8EA9DB"/>
                  <w:vAlign w:val="center"/>
                  <w:hideMark/>
                </w:tcPr>
                <w:p w14:paraId="30AF49B4" w14:textId="77777777" w:rsidR="00C91AAE" w:rsidRPr="00C91AAE" w:rsidRDefault="00C91AAE" w:rsidP="00C91AAE">
                  <w:pPr>
                    <w:rPr>
                      <w:rFonts w:cstheme="minorHAnsi"/>
                      <w:b/>
                      <w:bCs/>
                      <w:szCs w:val="24"/>
                    </w:rPr>
                  </w:pPr>
                </w:p>
              </w:tc>
              <w:tc>
                <w:tcPr>
                  <w:tcW w:w="1417" w:type="dxa"/>
                  <w:tcBorders>
                    <w:top w:val="nil"/>
                    <w:left w:val="nil"/>
                    <w:bottom w:val="single" w:sz="4" w:space="0" w:color="auto"/>
                    <w:right w:val="single" w:sz="4" w:space="0" w:color="auto"/>
                  </w:tcBorders>
                  <w:shd w:val="clear" w:color="auto" w:fill="8EA9DB"/>
                  <w:vAlign w:val="bottom"/>
                  <w:hideMark/>
                </w:tcPr>
                <w:p w14:paraId="4FAB3FE1" w14:textId="77777777" w:rsidR="00C91AAE" w:rsidRPr="00C91AAE" w:rsidRDefault="00C91AAE" w:rsidP="00C91AAE">
                  <w:pPr>
                    <w:rPr>
                      <w:rFonts w:cstheme="minorHAnsi"/>
                      <w:b/>
                      <w:bCs/>
                      <w:szCs w:val="24"/>
                    </w:rPr>
                  </w:pPr>
                  <w:r w:rsidRPr="00C91AAE">
                    <w:rPr>
                      <w:rFonts w:cstheme="minorHAnsi"/>
                      <w:b/>
                      <w:bCs/>
                      <w:szCs w:val="24"/>
                    </w:rPr>
                    <w:t>Mean Hrly Rate</w:t>
                  </w:r>
                </w:p>
              </w:tc>
              <w:tc>
                <w:tcPr>
                  <w:tcW w:w="1418" w:type="dxa"/>
                  <w:tcBorders>
                    <w:top w:val="nil"/>
                    <w:left w:val="nil"/>
                    <w:bottom w:val="single" w:sz="4" w:space="0" w:color="auto"/>
                    <w:right w:val="single" w:sz="4" w:space="0" w:color="auto"/>
                  </w:tcBorders>
                  <w:shd w:val="clear" w:color="auto" w:fill="8EA9DB"/>
                  <w:vAlign w:val="bottom"/>
                  <w:hideMark/>
                </w:tcPr>
                <w:p w14:paraId="77BE6B22" w14:textId="77777777" w:rsidR="00C91AAE" w:rsidRPr="00C91AAE" w:rsidRDefault="00C91AAE" w:rsidP="00C91AAE">
                  <w:pPr>
                    <w:rPr>
                      <w:rFonts w:cstheme="minorHAnsi"/>
                      <w:b/>
                      <w:bCs/>
                      <w:szCs w:val="24"/>
                    </w:rPr>
                  </w:pPr>
                  <w:r w:rsidRPr="00C91AAE">
                    <w:rPr>
                      <w:rFonts w:cstheme="minorHAnsi"/>
                      <w:b/>
                      <w:bCs/>
                      <w:szCs w:val="24"/>
                    </w:rPr>
                    <w:t>Median Hrly Rate</w:t>
                  </w:r>
                </w:p>
              </w:tc>
              <w:tc>
                <w:tcPr>
                  <w:tcW w:w="1417" w:type="dxa"/>
                  <w:tcBorders>
                    <w:top w:val="nil"/>
                    <w:left w:val="nil"/>
                    <w:bottom w:val="single" w:sz="4" w:space="0" w:color="auto"/>
                    <w:right w:val="single" w:sz="4" w:space="0" w:color="auto"/>
                  </w:tcBorders>
                  <w:shd w:val="clear" w:color="auto" w:fill="8EA9DB"/>
                  <w:vAlign w:val="bottom"/>
                  <w:hideMark/>
                </w:tcPr>
                <w:p w14:paraId="5F20F3BB" w14:textId="77777777" w:rsidR="00C91AAE" w:rsidRPr="00C91AAE" w:rsidRDefault="00C91AAE" w:rsidP="00C91AAE">
                  <w:pPr>
                    <w:rPr>
                      <w:rFonts w:cstheme="minorHAnsi"/>
                      <w:b/>
                      <w:bCs/>
                      <w:szCs w:val="24"/>
                    </w:rPr>
                  </w:pPr>
                  <w:r w:rsidRPr="00C91AAE">
                    <w:rPr>
                      <w:rFonts w:cstheme="minorHAnsi"/>
                      <w:b/>
                      <w:bCs/>
                      <w:szCs w:val="24"/>
                    </w:rPr>
                    <w:t>Mean Hrly Rate</w:t>
                  </w:r>
                </w:p>
              </w:tc>
              <w:tc>
                <w:tcPr>
                  <w:tcW w:w="1418" w:type="dxa"/>
                  <w:tcBorders>
                    <w:top w:val="nil"/>
                    <w:left w:val="nil"/>
                    <w:bottom w:val="single" w:sz="4" w:space="0" w:color="auto"/>
                    <w:right w:val="single" w:sz="4" w:space="0" w:color="auto"/>
                  </w:tcBorders>
                  <w:shd w:val="clear" w:color="auto" w:fill="8EA9DB"/>
                  <w:vAlign w:val="bottom"/>
                  <w:hideMark/>
                </w:tcPr>
                <w:p w14:paraId="0E333ADB" w14:textId="77777777" w:rsidR="00C91AAE" w:rsidRPr="00C91AAE" w:rsidRDefault="00C91AAE" w:rsidP="00C91AAE">
                  <w:pPr>
                    <w:rPr>
                      <w:rFonts w:cstheme="minorHAnsi"/>
                      <w:b/>
                      <w:bCs/>
                      <w:szCs w:val="24"/>
                    </w:rPr>
                  </w:pPr>
                  <w:r w:rsidRPr="00C91AAE">
                    <w:rPr>
                      <w:rFonts w:cstheme="minorHAnsi"/>
                      <w:b/>
                      <w:bCs/>
                      <w:szCs w:val="24"/>
                    </w:rPr>
                    <w:t>Median Hrly Rate</w:t>
                  </w:r>
                </w:p>
              </w:tc>
              <w:tc>
                <w:tcPr>
                  <w:tcW w:w="992" w:type="dxa"/>
                  <w:tcBorders>
                    <w:top w:val="nil"/>
                    <w:left w:val="nil"/>
                    <w:bottom w:val="single" w:sz="4" w:space="0" w:color="auto"/>
                    <w:right w:val="single" w:sz="4" w:space="0" w:color="auto"/>
                  </w:tcBorders>
                  <w:shd w:val="clear" w:color="auto" w:fill="8EA9DB"/>
                  <w:vAlign w:val="bottom"/>
                  <w:hideMark/>
                </w:tcPr>
                <w:p w14:paraId="5E65A8F1" w14:textId="77777777" w:rsidR="00C91AAE" w:rsidRPr="00C91AAE" w:rsidRDefault="00C91AAE" w:rsidP="00C91AAE">
                  <w:pPr>
                    <w:rPr>
                      <w:rFonts w:cstheme="minorHAnsi"/>
                      <w:b/>
                      <w:bCs/>
                      <w:szCs w:val="24"/>
                    </w:rPr>
                  </w:pPr>
                  <w:r w:rsidRPr="00C91AAE">
                    <w:rPr>
                      <w:rFonts w:cstheme="minorHAnsi"/>
                      <w:b/>
                      <w:bCs/>
                      <w:szCs w:val="24"/>
                    </w:rPr>
                    <w:t>Mean EPG</w:t>
                  </w:r>
                </w:p>
              </w:tc>
              <w:tc>
                <w:tcPr>
                  <w:tcW w:w="1134" w:type="dxa"/>
                  <w:tcBorders>
                    <w:top w:val="nil"/>
                    <w:left w:val="nil"/>
                    <w:bottom w:val="single" w:sz="4" w:space="0" w:color="auto"/>
                    <w:right w:val="single" w:sz="4" w:space="0" w:color="auto"/>
                  </w:tcBorders>
                  <w:shd w:val="clear" w:color="auto" w:fill="8EA9DB"/>
                  <w:vAlign w:val="bottom"/>
                  <w:hideMark/>
                </w:tcPr>
                <w:p w14:paraId="7D0F0707" w14:textId="77777777" w:rsidR="00C91AAE" w:rsidRPr="00C91AAE" w:rsidRDefault="00C91AAE" w:rsidP="00C91AAE">
                  <w:pPr>
                    <w:rPr>
                      <w:rFonts w:cstheme="minorHAnsi"/>
                      <w:b/>
                      <w:bCs/>
                      <w:szCs w:val="24"/>
                    </w:rPr>
                  </w:pPr>
                  <w:r w:rsidRPr="00C91AAE">
                    <w:rPr>
                      <w:rFonts w:cstheme="minorHAnsi"/>
                      <w:b/>
                      <w:bCs/>
                      <w:szCs w:val="24"/>
                    </w:rPr>
                    <w:t>Median EPG</w:t>
                  </w:r>
                </w:p>
              </w:tc>
            </w:tr>
            <w:tr w:rsidR="00C91AAE" w:rsidRPr="00C91AAE" w14:paraId="3E97983C" w14:textId="77777777" w:rsidTr="003352D5">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8D2173E" w14:textId="77777777" w:rsidR="00C91AAE" w:rsidRPr="00C91AAE" w:rsidRDefault="00C91AAE" w:rsidP="00C91AAE">
                  <w:pPr>
                    <w:rPr>
                      <w:rFonts w:cstheme="minorHAnsi"/>
                      <w:b/>
                      <w:bCs/>
                      <w:szCs w:val="24"/>
                    </w:rPr>
                  </w:pPr>
                  <w:r w:rsidRPr="00C91AAE">
                    <w:rPr>
                      <w:rFonts w:cstheme="minorHAnsi"/>
                      <w:b/>
                      <w:bCs/>
                      <w:szCs w:val="24"/>
                    </w:rPr>
                    <w:t>Band 1-4</w:t>
                  </w:r>
                </w:p>
              </w:tc>
              <w:tc>
                <w:tcPr>
                  <w:tcW w:w="1417" w:type="dxa"/>
                  <w:tcBorders>
                    <w:top w:val="nil"/>
                    <w:left w:val="nil"/>
                    <w:bottom w:val="single" w:sz="4" w:space="0" w:color="auto"/>
                    <w:right w:val="single" w:sz="4" w:space="0" w:color="auto"/>
                  </w:tcBorders>
                  <w:shd w:val="clear" w:color="auto" w:fill="auto"/>
                  <w:noWrap/>
                  <w:vAlign w:val="bottom"/>
                  <w:hideMark/>
                </w:tcPr>
                <w:p w14:paraId="7ED24D3B" w14:textId="77777777" w:rsidR="00C91AAE" w:rsidRPr="00C91AAE" w:rsidRDefault="00C91AAE" w:rsidP="00C91AAE">
                  <w:pPr>
                    <w:rPr>
                      <w:rFonts w:cstheme="minorHAnsi"/>
                      <w:b/>
                      <w:bCs/>
                      <w:szCs w:val="24"/>
                    </w:rPr>
                  </w:pPr>
                  <w:r w:rsidRPr="00C91AAE">
                    <w:rPr>
                      <w:rFonts w:cstheme="minorHAnsi"/>
                      <w:b/>
                      <w:bCs/>
                      <w:szCs w:val="24"/>
                    </w:rPr>
                    <w:t xml:space="preserve"> £      14.35 </w:t>
                  </w:r>
                </w:p>
              </w:tc>
              <w:tc>
                <w:tcPr>
                  <w:tcW w:w="1418" w:type="dxa"/>
                  <w:tcBorders>
                    <w:top w:val="nil"/>
                    <w:left w:val="nil"/>
                    <w:bottom w:val="single" w:sz="4" w:space="0" w:color="auto"/>
                    <w:right w:val="single" w:sz="4" w:space="0" w:color="auto"/>
                  </w:tcBorders>
                  <w:shd w:val="clear" w:color="auto" w:fill="auto"/>
                  <w:noWrap/>
                  <w:vAlign w:val="bottom"/>
                  <w:hideMark/>
                </w:tcPr>
                <w:p w14:paraId="64E9DAF9" w14:textId="77777777" w:rsidR="00C91AAE" w:rsidRPr="00C91AAE" w:rsidRDefault="00C91AAE" w:rsidP="00C91AAE">
                  <w:pPr>
                    <w:rPr>
                      <w:rFonts w:cstheme="minorHAnsi"/>
                      <w:b/>
                      <w:bCs/>
                      <w:szCs w:val="24"/>
                    </w:rPr>
                  </w:pPr>
                  <w:r w:rsidRPr="00C91AAE">
                    <w:rPr>
                      <w:rFonts w:cstheme="minorHAnsi"/>
                      <w:b/>
                      <w:bCs/>
                      <w:szCs w:val="24"/>
                    </w:rPr>
                    <w:t xml:space="preserve"> £      14.35 </w:t>
                  </w:r>
                </w:p>
              </w:tc>
              <w:tc>
                <w:tcPr>
                  <w:tcW w:w="1417" w:type="dxa"/>
                  <w:tcBorders>
                    <w:top w:val="nil"/>
                    <w:left w:val="nil"/>
                    <w:bottom w:val="single" w:sz="4" w:space="0" w:color="auto"/>
                    <w:right w:val="single" w:sz="4" w:space="0" w:color="auto"/>
                  </w:tcBorders>
                  <w:shd w:val="clear" w:color="auto" w:fill="auto"/>
                  <w:noWrap/>
                  <w:vAlign w:val="bottom"/>
                  <w:hideMark/>
                </w:tcPr>
                <w:p w14:paraId="7A827D1D" w14:textId="77777777" w:rsidR="00C91AAE" w:rsidRPr="00C91AAE" w:rsidRDefault="00C91AAE" w:rsidP="00C91AAE">
                  <w:pPr>
                    <w:rPr>
                      <w:rFonts w:cstheme="minorHAnsi"/>
                      <w:b/>
                      <w:bCs/>
                      <w:szCs w:val="24"/>
                    </w:rPr>
                  </w:pPr>
                  <w:r w:rsidRPr="00C91AAE">
                    <w:rPr>
                      <w:rFonts w:cstheme="minorHAnsi"/>
                      <w:b/>
                      <w:bCs/>
                      <w:szCs w:val="24"/>
                    </w:rPr>
                    <w:t xml:space="preserve"> £ 14.49 </w:t>
                  </w:r>
                </w:p>
              </w:tc>
              <w:tc>
                <w:tcPr>
                  <w:tcW w:w="1418" w:type="dxa"/>
                  <w:tcBorders>
                    <w:top w:val="nil"/>
                    <w:left w:val="nil"/>
                    <w:bottom w:val="single" w:sz="4" w:space="0" w:color="auto"/>
                    <w:right w:val="single" w:sz="4" w:space="0" w:color="auto"/>
                  </w:tcBorders>
                  <w:shd w:val="clear" w:color="auto" w:fill="auto"/>
                  <w:noWrap/>
                  <w:vAlign w:val="bottom"/>
                  <w:hideMark/>
                </w:tcPr>
                <w:p w14:paraId="7B06A8A2" w14:textId="77777777" w:rsidR="00C91AAE" w:rsidRPr="00C91AAE" w:rsidRDefault="00C91AAE" w:rsidP="00C91AAE">
                  <w:pPr>
                    <w:rPr>
                      <w:rFonts w:cstheme="minorHAnsi"/>
                      <w:b/>
                      <w:bCs/>
                      <w:szCs w:val="24"/>
                    </w:rPr>
                  </w:pPr>
                  <w:r w:rsidRPr="00C91AAE">
                    <w:rPr>
                      <w:rFonts w:cstheme="minorHAnsi"/>
                      <w:b/>
                      <w:bCs/>
                      <w:szCs w:val="24"/>
                    </w:rPr>
                    <w:t xml:space="preserve"> £ 14.35 </w:t>
                  </w:r>
                </w:p>
              </w:tc>
              <w:tc>
                <w:tcPr>
                  <w:tcW w:w="992" w:type="dxa"/>
                  <w:tcBorders>
                    <w:top w:val="nil"/>
                    <w:left w:val="nil"/>
                    <w:bottom w:val="single" w:sz="4" w:space="0" w:color="auto"/>
                    <w:right w:val="single" w:sz="4" w:space="0" w:color="auto"/>
                  </w:tcBorders>
                  <w:shd w:val="clear" w:color="auto" w:fill="auto"/>
                  <w:noWrap/>
                  <w:vAlign w:val="bottom"/>
                  <w:hideMark/>
                </w:tcPr>
                <w:p w14:paraId="49804CA8" w14:textId="77777777" w:rsidR="00C91AAE" w:rsidRPr="00C91AAE" w:rsidRDefault="00C91AAE" w:rsidP="00C91AAE">
                  <w:pPr>
                    <w:rPr>
                      <w:rFonts w:cstheme="minorHAnsi"/>
                      <w:b/>
                      <w:bCs/>
                      <w:szCs w:val="24"/>
                    </w:rPr>
                  </w:pPr>
                  <w:r w:rsidRPr="00C91AAE">
                    <w:rPr>
                      <w:rFonts w:cstheme="minorHAnsi"/>
                      <w:b/>
                      <w:bCs/>
                      <w:szCs w:val="24"/>
                    </w:rPr>
                    <w:t>0.97%</w:t>
                  </w:r>
                </w:p>
              </w:tc>
              <w:tc>
                <w:tcPr>
                  <w:tcW w:w="1134" w:type="dxa"/>
                  <w:tcBorders>
                    <w:top w:val="nil"/>
                    <w:left w:val="nil"/>
                    <w:bottom w:val="single" w:sz="4" w:space="0" w:color="auto"/>
                    <w:right w:val="single" w:sz="4" w:space="0" w:color="auto"/>
                  </w:tcBorders>
                  <w:shd w:val="clear" w:color="auto" w:fill="auto"/>
                  <w:noWrap/>
                  <w:vAlign w:val="bottom"/>
                  <w:hideMark/>
                </w:tcPr>
                <w:p w14:paraId="5A09A1F8" w14:textId="77777777" w:rsidR="00C91AAE" w:rsidRPr="00C91AAE" w:rsidRDefault="00C91AAE" w:rsidP="00C91AAE">
                  <w:pPr>
                    <w:rPr>
                      <w:rFonts w:cstheme="minorHAnsi"/>
                      <w:b/>
                      <w:bCs/>
                      <w:szCs w:val="24"/>
                    </w:rPr>
                  </w:pPr>
                  <w:r w:rsidRPr="00C91AAE">
                    <w:rPr>
                      <w:rFonts w:cstheme="minorHAnsi"/>
                      <w:b/>
                      <w:bCs/>
                      <w:szCs w:val="24"/>
                    </w:rPr>
                    <w:t>0.00%</w:t>
                  </w:r>
                </w:p>
              </w:tc>
            </w:tr>
            <w:tr w:rsidR="00C91AAE" w:rsidRPr="00C91AAE" w14:paraId="7D0EADDB" w14:textId="77777777" w:rsidTr="003352D5">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8B81A46" w14:textId="77777777" w:rsidR="00C91AAE" w:rsidRPr="00C91AAE" w:rsidRDefault="00C91AAE" w:rsidP="00C91AAE">
                  <w:pPr>
                    <w:rPr>
                      <w:rFonts w:cstheme="minorHAnsi"/>
                      <w:b/>
                      <w:bCs/>
                      <w:szCs w:val="24"/>
                    </w:rPr>
                  </w:pPr>
                  <w:r w:rsidRPr="00C91AAE">
                    <w:rPr>
                      <w:rFonts w:cstheme="minorHAnsi"/>
                      <w:b/>
                      <w:bCs/>
                      <w:szCs w:val="24"/>
                    </w:rPr>
                    <w:t>Band 5-7</w:t>
                  </w:r>
                </w:p>
              </w:tc>
              <w:tc>
                <w:tcPr>
                  <w:tcW w:w="1417" w:type="dxa"/>
                  <w:tcBorders>
                    <w:top w:val="nil"/>
                    <w:left w:val="nil"/>
                    <w:bottom w:val="single" w:sz="4" w:space="0" w:color="auto"/>
                    <w:right w:val="single" w:sz="4" w:space="0" w:color="auto"/>
                  </w:tcBorders>
                  <w:shd w:val="clear" w:color="auto" w:fill="auto"/>
                  <w:noWrap/>
                  <w:vAlign w:val="bottom"/>
                  <w:hideMark/>
                </w:tcPr>
                <w:p w14:paraId="29D4DF86" w14:textId="77777777" w:rsidR="00C91AAE" w:rsidRPr="00C91AAE" w:rsidRDefault="00C91AAE" w:rsidP="00C91AAE">
                  <w:pPr>
                    <w:rPr>
                      <w:rFonts w:cstheme="minorHAnsi"/>
                      <w:b/>
                      <w:bCs/>
                      <w:szCs w:val="24"/>
                    </w:rPr>
                  </w:pPr>
                  <w:r w:rsidRPr="00C91AAE">
                    <w:rPr>
                      <w:rFonts w:cstheme="minorHAnsi"/>
                      <w:b/>
                      <w:bCs/>
                      <w:szCs w:val="24"/>
                    </w:rPr>
                    <w:t xml:space="preserve"> £      22.86 </w:t>
                  </w:r>
                </w:p>
              </w:tc>
              <w:tc>
                <w:tcPr>
                  <w:tcW w:w="1418" w:type="dxa"/>
                  <w:tcBorders>
                    <w:top w:val="nil"/>
                    <w:left w:val="nil"/>
                    <w:bottom w:val="single" w:sz="4" w:space="0" w:color="auto"/>
                    <w:right w:val="single" w:sz="4" w:space="0" w:color="auto"/>
                  </w:tcBorders>
                  <w:shd w:val="clear" w:color="auto" w:fill="auto"/>
                  <w:noWrap/>
                  <w:vAlign w:val="bottom"/>
                  <w:hideMark/>
                </w:tcPr>
                <w:p w14:paraId="668FE754" w14:textId="77777777" w:rsidR="00C91AAE" w:rsidRPr="00C91AAE" w:rsidRDefault="00C91AAE" w:rsidP="00C91AAE">
                  <w:pPr>
                    <w:rPr>
                      <w:rFonts w:cstheme="minorHAnsi"/>
                      <w:b/>
                      <w:bCs/>
                      <w:szCs w:val="24"/>
                    </w:rPr>
                  </w:pPr>
                  <w:r w:rsidRPr="00C91AAE">
                    <w:rPr>
                      <w:rFonts w:cstheme="minorHAnsi"/>
                      <w:b/>
                      <w:bCs/>
                      <w:szCs w:val="24"/>
                    </w:rPr>
                    <w:t xml:space="preserve"> £      22.87 </w:t>
                  </w:r>
                </w:p>
              </w:tc>
              <w:tc>
                <w:tcPr>
                  <w:tcW w:w="1417" w:type="dxa"/>
                  <w:tcBorders>
                    <w:top w:val="nil"/>
                    <w:left w:val="nil"/>
                    <w:bottom w:val="single" w:sz="4" w:space="0" w:color="auto"/>
                    <w:right w:val="single" w:sz="4" w:space="0" w:color="auto"/>
                  </w:tcBorders>
                  <w:shd w:val="clear" w:color="auto" w:fill="auto"/>
                  <w:noWrap/>
                  <w:vAlign w:val="bottom"/>
                  <w:hideMark/>
                </w:tcPr>
                <w:p w14:paraId="39AA5E94" w14:textId="77777777" w:rsidR="00C91AAE" w:rsidRPr="00C91AAE" w:rsidRDefault="00C91AAE" w:rsidP="00C91AAE">
                  <w:pPr>
                    <w:rPr>
                      <w:rFonts w:cstheme="minorHAnsi"/>
                      <w:b/>
                      <w:bCs/>
                      <w:szCs w:val="24"/>
                    </w:rPr>
                  </w:pPr>
                  <w:r w:rsidRPr="00C91AAE">
                    <w:rPr>
                      <w:rFonts w:cstheme="minorHAnsi"/>
                      <w:b/>
                      <w:bCs/>
                      <w:szCs w:val="24"/>
                    </w:rPr>
                    <w:t xml:space="preserve"> £ 23.37 </w:t>
                  </w:r>
                </w:p>
              </w:tc>
              <w:tc>
                <w:tcPr>
                  <w:tcW w:w="1418" w:type="dxa"/>
                  <w:tcBorders>
                    <w:top w:val="nil"/>
                    <w:left w:val="nil"/>
                    <w:bottom w:val="single" w:sz="4" w:space="0" w:color="auto"/>
                    <w:right w:val="single" w:sz="4" w:space="0" w:color="auto"/>
                  </w:tcBorders>
                  <w:shd w:val="clear" w:color="auto" w:fill="auto"/>
                  <w:noWrap/>
                  <w:vAlign w:val="bottom"/>
                  <w:hideMark/>
                </w:tcPr>
                <w:p w14:paraId="57FB1E2B" w14:textId="77777777" w:rsidR="00C91AAE" w:rsidRPr="00C91AAE" w:rsidRDefault="00C91AAE" w:rsidP="00C91AAE">
                  <w:pPr>
                    <w:rPr>
                      <w:rFonts w:cstheme="minorHAnsi"/>
                      <w:b/>
                      <w:bCs/>
                      <w:szCs w:val="24"/>
                    </w:rPr>
                  </w:pPr>
                  <w:r w:rsidRPr="00C91AAE">
                    <w:rPr>
                      <w:rFonts w:cstheme="minorHAnsi"/>
                      <w:b/>
                      <w:bCs/>
                      <w:szCs w:val="24"/>
                    </w:rPr>
                    <w:t xml:space="preserve"> £ 24.53 </w:t>
                  </w:r>
                </w:p>
              </w:tc>
              <w:tc>
                <w:tcPr>
                  <w:tcW w:w="992" w:type="dxa"/>
                  <w:tcBorders>
                    <w:top w:val="nil"/>
                    <w:left w:val="nil"/>
                    <w:bottom w:val="single" w:sz="4" w:space="0" w:color="auto"/>
                    <w:right w:val="single" w:sz="4" w:space="0" w:color="auto"/>
                  </w:tcBorders>
                  <w:shd w:val="clear" w:color="auto" w:fill="auto"/>
                  <w:noWrap/>
                  <w:vAlign w:val="bottom"/>
                  <w:hideMark/>
                </w:tcPr>
                <w:p w14:paraId="57C13F9F" w14:textId="77777777" w:rsidR="00C91AAE" w:rsidRPr="00C91AAE" w:rsidRDefault="00C91AAE" w:rsidP="00C91AAE">
                  <w:pPr>
                    <w:rPr>
                      <w:rFonts w:cstheme="minorHAnsi"/>
                      <w:b/>
                      <w:bCs/>
                      <w:szCs w:val="24"/>
                    </w:rPr>
                  </w:pPr>
                  <w:r w:rsidRPr="00C91AAE">
                    <w:rPr>
                      <w:rFonts w:cstheme="minorHAnsi"/>
                      <w:b/>
                      <w:bCs/>
                      <w:szCs w:val="24"/>
                    </w:rPr>
                    <w:t>2.18%</w:t>
                  </w:r>
                </w:p>
              </w:tc>
              <w:tc>
                <w:tcPr>
                  <w:tcW w:w="1134" w:type="dxa"/>
                  <w:tcBorders>
                    <w:top w:val="nil"/>
                    <w:left w:val="nil"/>
                    <w:bottom w:val="single" w:sz="4" w:space="0" w:color="auto"/>
                    <w:right w:val="single" w:sz="4" w:space="0" w:color="auto"/>
                  </w:tcBorders>
                  <w:shd w:val="clear" w:color="auto" w:fill="auto"/>
                  <w:noWrap/>
                  <w:vAlign w:val="bottom"/>
                  <w:hideMark/>
                </w:tcPr>
                <w:p w14:paraId="2BB29519" w14:textId="77777777" w:rsidR="00C91AAE" w:rsidRPr="00C91AAE" w:rsidRDefault="00C91AAE" w:rsidP="00C91AAE">
                  <w:pPr>
                    <w:rPr>
                      <w:rFonts w:cstheme="minorHAnsi"/>
                      <w:b/>
                      <w:bCs/>
                      <w:szCs w:val="24"/>
                    </w:rPr>
                  </w:pPr>
                  <w:r w:rsidRPr="00C91AAE">
                    <w:rPr>
                      <w:rFonts w:cstheme="minorHAnsi"/>
                      <w:b/>
                      <w:bCs/>
                      <w:szCs w:val="24"/>
                    </w:rPr>
                    <w:t>6.77%</w:t>
                  </w:r>
                </w:p>
              </w:tc>
            </w:tr>
            <w:tr w:rsidR="00C91AAE" w:rsidRPr="00C91AAE" w14:paraId="1F5208FC" w14:textId="77777777" w:rsidTr="003352D5">
              <w:trPr>
                <w:trHeight w:val="288"/>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730993B" w14:textId="77777777" w:rsidR="00C91AAE" w:rsidRPr="00C91AAE" w:rsidRDefault="00C91AAE" w:rsidP="00C91AAE">
                  <w:pPr>
                    <w:rPr>
                      <w:rFonts w:cstheme="minorHAnsi"/>
                      <w:b/>
                      <w:bCs/>
                      <w:szCs w:val="24"/>
                    </w:rPr>
                  </w:pPr>
                  <w:r w:rsidRPr="00C91AAE">
                    <w:rPr>
                      <w:rFonts w:cstheme="minorHAnsi"/>
                      <w:b/>
                      <w:bCs/>
                      <w:szCs w:val="24"/>
                    </w:rPr>
                    <w:t>Bands 8-9</w:t>
                  </w:r>
                </w:p>
              </w:tc>
              <w:tc>
                <w:tcPr>
                  <w:tcW w:w="1417" w:type="dxa"/>
                  <w:tcBorders>
                    <w:top w:val="nil"/>
                    <w:left w:val="nil"/>
                    <w:bottom w:val="single" w:sz="4" w:space="0" w:color="auto"/>
                    <w:right w:val="single" w:sz="4" w:space="0" w:color="auto"/>
                  </w:tcBorders>
                  <w:shd w:val="clear" w:color="auto" w:fill="auto"/>
                  <w:noWrap/>
                  <w:vAlign w:val="bottom"/>
                  <w:hideMark/>
                </w:tcPr>
                <w:p w14:paraId="5E732AD9" w14:textId="77777777" w:rsidR="00C91AAE" w:rsidRPr="00C91AAE" w:rsidRDefault="00C91AAE" w:rsidP="00C91AAE">
                  <w:pPr>
                    <w:rPr>
                      <w:rFonts w:cstheme="minorHAnsi"/>
                      <w:b/>
                      <w:bCs/>
                      <w:szCs w:val="24"/>
                    </w:rPr>
                  </w:pPr>
                  <w:r w:rsidRPr="00C91AAE">
                    <w:rPr>
                      <w:rFonts w:cstheme="minorHAnsi"/>
                      <w:b/>
                      <w:bCs/>
                      <w:szCs w:val="24"/>
                    </w:rPr>
                    <w:t xml:space="preserve"> £      32.83 </w:t>
                  </w:r>
                </w:p>
              </w:tc>
              <w:tc>
                <w:tcPr>
                  <w:tcW w:w="1418" w:type="dxa"/>
                  <w:tcBorders>
                    <w:top w:val="nil"/>
                    <w:left w:val="nil"/>
                    <w:bottom w:val="single" w:sz="4" w:space="0" w:color="auto"/>
                    <w:right w:val="single" w:sz="4" w:space="0" w:color="auto"/>
                  </w:tcBorders>
                  <w:shd w:val="clear" w:color="auto" w:fill="auto"/>
                  <w:noWrap/>
                  <w:vAlign w:val="bottom"/>
                  <w:hideMark/>
                </w:tcPr>
                <w:p w14:paraId="033FAC70" w14:textId="77777777" w:rsidR="00C91AAE" w:rsidRPr="00C91AAE" w:rsidRDefault="00C91AAE" w:rsidP="00C91AAE">
                  <w:pPr>
                    <w:rPr>
                      <w:rFonts w:cstheme="minorHAnsi"/>
                      <w:b/>
                      <w:bCs/>
                      <w:szCs w:val="24"/>
                    </w:rPr>
                  </w:pPr>
                  <w:r w:rsidRPr="00C91AAE">
                    <w:rPr>
                      <w:rFonts w:cstheme="minorHAnsi"/>
                      <w:b/>
                      <w:bCs/>
                      <w:szCs w:val="24"/>
                    </w:rPr>
                    <w:t xml:space="preserve"> £      31.71 </w:t>
                  </w:r>
                </w:p>
              </w:tc>
              <w:tc>
                <w:tcPr>
                  <w:tcW w:w="1417" w:type="dxa"/>
                  <w:tcBorders>
                    <w:top w:val="nil"/>
                    <w:left w:val="nil"/>
                    <w:bottom w:val="single" w:sz="4" w:space="0" w:color="auto"/>
                    <w:right w:val="single" w:sz="4" w:space="0" w:color="auto"/>
                  </w:tcBorders>
                  <w:shd w:val="clear" w:color="auto" w:fill="auto"/>
                  <w:noWrap/>
                  <w:vAlign w:val="bottom"/>
                  <w:hideMark/>
                </w:tcPr>
                <w:p w14:paraId="3CC703DA" w14:textId="77777777" w:rsidR="00C91AAE" w:rsidRPr="00C91AAE" w:rsidRDefault="00C91AAE" w:rsidP="00C91AAE">
                  <w:pPr>
                    <w:rPr>
                      <w:rFonts w:cstheme="minorHAnsi"/>
                      <w:b/>
                      <w:bCs/>
                      <w:szCs w:val="24"/>
                    </w:rPr>
                  </w:pPr>
                  <w:r w:rsidRPr="00C91AAE">
                    <w:rPr>
                      <w:rFonts w:cstheme="minorHAnsi"/>
                      <w:b/>
                      <w:bCs/>
                      <w:szCs w:val="24"/>
                    </w:rPr>
                    <w:t xml:space="preserve"> £ 36.45 </w:t>
                  </w:r>
                </w:p>
              </w:tc>
              <w:tc>
                <w:tcPr>
                  <w:tcW w:w="1418" w:type="dxa"/>
                  <w:tcBorders>
                    <w:top w:val="nil"/>
                    <w:left w:val="nil"/>
                    <w:bottom w:val="single" w:sz="4" w:space="0" w:color="auto"/>
                    <w:right w:val="single" w:sz="4" w:space="0" w:color="auto"/>
                  </w:tcBorders>
                  <w:shd w:val="clear" w:color="auto" w:fill="auto"/>
                  <w:noWrap/>
                  <w:vAlign w:val="bottom"/>
                  <w:hideMark/>
                </w:tcPr>
                <w:p w14:paraId="39EBA0C2" w14:textId="77777777" w:rsidR="00C91AAE" w:rsidRPr="00C91AAE" w:rsidRDefault="00C91AAE" w:rsidP="00C91AAE">
                  <w:pPr>
                    <w:rPr>
                      <w:rFonts w:cstheme="minorHAnsi"/>
                      <w:b/>
                      <w:bCs/>
                      <w:szCs w:val="24"/>
                    </w:rPr>
                  </w:pPr>
                  <w:r w:rsidRPr="00C91AAE">
                    <w:rPr>
                      <w:rFonts w:cstheme="minorHAnsi"/>
                      <w:b/>
                      <w:bCs/>
                      <w:szCs w:val="24"/>
                    </w:rPr>
                    <w:t xml:space="preserve"> £ 32.50 </w:t>
                  </w:r>
                </w:p>
              </w:tc>
              <w:tc>
                <w:tcPr>
                  <w:tcW w:w="992" w:type="dxa"/>
                  <w:tcBorders>
                    <w:top w:val="nil"/>
                    <w:left w:val="nil"/>
                    <w:bottom w:val="single" w:sz="4" w:space="0" w:color="auto"/>
                    <w:right w:val="single" w:sz="4" w:space="0" w:color="auto"/>
                  </w:tcBorders>
                  <w:shd w:val="clear" w:color="auto" w:fill="auto"/>
                  <w:noWrap/>
                  <w:vAlign w:val="bottom"/>
                  <w:hideMark/>
                </w:tcPr>
                <w:p w14:paraId="1F8305CD" w14:textId="77777777" w:rsidR="00C91AAE" w:rsidRPr="00C91AAE" w:rsidRDefault="00C91AAE" w:rsidP="00C91AAE">
                  <w:pPr>
                    <w:rPr>
                      <w:rFonts w:cstheme="minorHAnsi"/>
                      <w:b/>
                      <w:bCs/>
                      <w:szCs w:val="24"/>
                    </w:rPr>
                  </w:pPr>
                  <w:r w:rsidRPr="00C91AAE">
                    <w:rPr>
                      <w:rFonts w:cstheme="minorHAnsi"/>
                      <w:b/>
                      <w:bCs/>
                      <w:szCs w:val="24"/>
                    </w:rPr>
                    <w:t>9.93%</w:t>
                  </w:r>
                </w:p>
              </w:tc>
              <w:tc>
                <w:tcPr>
                  <w:tcW w:w="1134" w:type="dxa"/>
                  <w:tcBorders>
                    <w:top w:val="nil"/>
                    <w:left w:val="nil"/>
                    <w:bottom w:val="single" w:sz="4" w:space="0" w:color="auto"/>
                    <w:right w:val="single" w:sz="4" w:space="0" w:color="auto"/>
                  </w:tcBorders>
                  <w:shd w:val="clear" w:color="auto" w:fill="auto"/>
                  <w:noWrap/>
                  <w:vAlign w:val="bottom"/>
                  <w:hideMark/>
                </w:tcPr>
                <w:p w14:paraId="00823C5A" w14:textId="77777777" w:rsidR="00C91AAE" w:rsidRPr="00C91AAE" w:rsidRDefault="00C91AAE" w:rsidP="00C91AAE">
                  <w:pPr>
                    <w:rPr>
                      <w:rFonts w:cstheme="minorHAnsi"/>
                      <w:b/>
                      <w:bCs/>
                      <w:szCs w:val="24"/>
                    </w:rPr>
                  </w:pPr>
                  <w:r w:rsidRPr="00C91AAE">
                    <w:rPr>
                      <w:rFonts w:cstheme="minorHAnsi"/>
                      <w:b/>
                      <w:bCs/>
                      <w:szCs w:val="24"/>
                    </w:rPr>
                    <w:t>2.43%</w:t>
                  </w:r>
                </w:p>
              </w:tc>
            </w:tr>
            <w:tr w:rsidR="00C91AAE" w:rsidRPr="00C91AAE" w14:paraId="0513D213" w14:textId="77777777" w:rsidTr="003352D5">
              <w:trPr>
                <w:trHeight w:val="288"/>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292F7F8B" w14:textId="77777777" w:rsidR="00C91AAE" w:rsidRPr="00C91AAE" w:rsidRDefault="00C91AAE" w:rsidP="00C91AAE">
                  <w:pPr>
                    <w:rPr>
                      <w:rFonts w:cstheme="minorHAnsi"/>
                      <w:b/>
                      <w:bCs/>
                      <w:szCs w:val="24"/>
                    </w:rPr>
                  </w:pPr>
                  <w:r w:rsidRPr="00C91AAE">
                    <w:rPr>
                      <w:rFonts w:cstheme="minorHAnsi"/>
                      <w:b/>
                      <w:bCs/>
                      <w:szCs w:val="24"/>
                    </w:rPr>
                    <w:t>Medical Staffing</w:t>
                  </w:r>
                </w:p>
              </w:tc>
              <w:tc>
                <w:tcPr>
                  <w:tcW w:w="1417" w:type="dxa"/>
                  <w:tcBorders>
                    <w:top w:val="nil"/>
                    <w:left w:val="nil"/>
                    <w:bottom w:val="single" w:sz="4" w:space="0" w:color="auto"/>
                    <w:right w:val="single" w:sz="4" w:space="0" w:color="auto"/>
                  </w:tcBorders>
                  <w:shd w:val="clear" w:color="auto" w:fill="auto"/>
                  <w:noWrap/>
                  <w:vAlign w:val="bottom"/>
                  <w:hideMark/>
                </w:tcPr>
                <w:p w14:paraId="1E3CCE3A" w14:textId="77777777" w:rsidR="00C91AAE" w:rsidRPr="00C91AAE" w:rsidRDefault="00C91AAE" w:rsidP="00C91AAE">
                  <w:pPr>
                    <w:rPr>
                      <w:rFonts w:cstheme="minorHAnsi"/>
                      <w:b/>
                      <w:bCs/>
                      <w:szCs w:val="24"/>
                    </w:rPr>
                  </w:pPr>
                  <w:r w:rsidRPr="00C91AAE">
                    <w:rPr>
                      <w:rFonts w:cstheme="minorHAnsi"/>
                      <w:b/>
                      <w:bCs/>
                      <w:szCs w:val="24"/>
                    </w:rPr>
                    <w:t xml:space="preserve"> £      39.40 </w:t>
                  </w:r>
                </w:p>
              </w:tc>
              <w:tc>
                <w:tcPr>
                  <w:tcW w:w="1418" w:type="dxa"/>
                  <w:tcBorders>
                    <w:top w:val="nil"/>
                    <w:left w:val="nil"/>
                    <w:bottom w:val="single" w:sz="4" w:space="0" w:color="auto"/>
                    <w:right w:val="single" w:sz="4" w:space="0" w:color="auto"/>
                  </w:tcBorders>
                  <w:shd w:val="clear" w:color="auto" w:fill="auto"/>
                  <w:noWrap/>
                  <w:vAlign w:val="bottom"/>
                  <w:hideMark/>
                </w:tcPr>
                <w:p w14:paraId="1DC05749" w14:textId="77777777" w:rsidR="00C91AAE" w:rsidRPr="00C91AAE" w:rsidRDefault="00C91AAE" w:rsidP="00C91AAE">
                  <w:pPr>
                    <w:rPr>
                      <w:rFonts w:cstheme="minorHAnsi"/>
                      <w:b/>
                      <w:bCs/>
                      <w:szCs w:val="24"/>
                    </w:rPr>
                  </w:pPr>
                  <w:r w:rsidRPr="00C91AAE">
                    <w:rPr>
                      <w:rFonts w:cstheme="minorHAnsi"/>
                      <w:b/>
                      <w:bCs/>
                      <w:szCs w:val="24"/>
                    </w:rPr>
                    <w:t xml:space="preserve"> £      40.60 </w:t>
                  </w:r>
                </w:p>
              </w:tc>
              <w:tc>
                <w:tcPr>
                  <w:tcW w:w="1417" w:type="dxa"/>
                  <w:tcBorders>
                    <w:top w:val="nil"/>
                    <w:left w:val="nil"/>
                    <w:bottom w:val="single" w:sz="4" w:space="0" w:color="auto"/>
                    <w:right w:val="single" w:sz="4" w:space="0" w:color="auto"/>
                  </w:tcBorders>
                  <w:shd w:val="clear" w:color="auto" w:fill="auto"/>
                  <w:noWrap/>
                  <w:vAlign w:val="bottom"/>
                  <w:hideMark/>
                </w:tcPr>
                <w:p w14:paraId="76E13CEF" w14:textId="77777777" w:rsidR="00C91AAE" w:rsidRPr="00C91AAE" w:rsidRDefault="00C91AAE" w:rsidP="00C91AAE">
                  <w:pPr>
                    <w:rPr>
                      <w:rFonts w:cstheme="minorHAnsi"/>
                      <w:b/>
                      <w:bCs/>
                      <w:szCs w:val="24"/>
                    </w:rPr>
                  </w:pPr>
                  <w:r w:rsidRPr="00C91AAE">
                    <w:rPr>
                      <w:rFonts w:cstheme="minorHAnsi"/>
                      <w:b/>
                      <w:bCs/>
                      <w:szCs w:val="24"/>
                    </w:rPr>
                    <w:t xml:space="preserve"> £ 43.30 </w:t>
                  </w:r>
                </w:p>
              </w:tc>
              <w:tc>
                <w:tcPr>
                  <w:tcW w:w="1418" w:type="dxa"/>
                  <w:tcBorders>
                    <w:top w:val="nil"/>
                    <w:left w:val="nil"/>
                    <w:bottom w:val="single" w:sz="4" w:space="0" w:color="auto"/>
                    <w:right w:val="single" w:sz="4" w:space="0" w:color="auto"/>
                  </w:tcBorders>
                  <w:shd w:val="clear" w:color="auto" w:fill="auto"/>
                  <w:noWrap/>
                  <w:vAlign w:val="bottom"/>
                  <w:hideMark/>
                </w:tcPr>
                <w:p w14:paraId="39EB81DE" w14:textId="77777777" w:rsidR="00C91AAE" w:rsidRPr="00C91AAE" w:rsidRDefault="00C91AAE" w:rsidP="00C91AAE">
                  <w:pPr>
                    <w:rPr>
                      <w:rFonts w:cstheme="minorHAnsi"/>
                      <w:b/>
                      <w:bCs/>
                      <w:szCs w:val="24"/>
                    </w:rPr>
                  </w:pPr>
                  <w:r w:rsidRPr="00C91AAE">
                    <w:rPr>
                      <w:rFonts w:cstheme="minorHAnsi"/>
                      <w:b/>
                      <w:bCs/>
                      <w:szCs w:val="24"/>
                    </w:rPr>
                    <w:t xml:space="preserve"> £ 47.69 </w:t>
                  </w:r>
                </w:p>
              </w:tc>
              <w:tc>
                <w:tcPr>
                  <w:tcW w:w="992" w:type="dxa"/>
                  <w:tcBorders>
                    <w:top w:val="nil"/>
                    <w:left w:val="nil"/>
                    <w:bottom w:val="single" w:sz="4" w:space="0" w:color="auto"/>
                    <w:right w:val="single" w:sz="4" w:space="0" w:color="auto"/>
                  </w:tcBorders>
                  <w:shd w:val="clear" w:color="auto" w:fill="auto"/>
                  <w:noWrap/>
                  <w:vAlign w:val="bottom"/>
                  <w:hideMark/>
                </w:tcPr>
                <w:p w14:paraId="1AE1E636" w14:textId="77777777" w:rsidR="00C91AAE" w:rsidRPr="00C91AAE" w:rsidRDefault="00C91AAE" w:rsidP="00C91AAE">
                  <w:pPr>
                    <w:rPr>
                      <w:rFonts w:cstheme="minorHAnsi"/>
                      <w:b/>
                      <w:bCs/>
                      <w:szCs w:val="24"/>
                    </w:rPr>
                  </w:pPr>
                  <w:r w:rsidRPr="00C91AAE">
                    <w:rPr>
                      <w:rFonts w:cstheme="minorHAnsi"/>
                      <w:b/>
                      <w:bCs/>
                      <w:szCs w:val="24"/>
                    </w:rPr>
                    <w:t>9.01%</w:t>
                  </w:r>
                </w:p>
              </w:tc>
              <w:tc>
                <w:tcPr>
                  <w:tcW w:w="1134" w:type="dxa"/>
                  <w:tcBorders>
                    <w:top w:val="nil"/>
                    <w:left w:val="nil"/>
                    <w:bottom w:val="single" w:sz="4" w:space="0" w:color="auto"/>
                    <w:right w:val="single" w:sz="4" w:space="0" w:color="auto"/>
                  </w:tcBorders>
                  <w:shd w:val="clear" w:color="auto" w:fill="auto"/>
                  <w:noWrap/>
                  <w:vAlign w:val="bottom"/>
                  <w:hideMark/>
                </w:tcPr>
                <w:p w14:paraId="674960CF" w14:textId="77777777" w:rsidR="00C91AAE" w:rsidRPr="00C91AAE" w:rsidRDefault="00C91AAE" w:rsidP="00C91AAE">
                  <w:pPr>
                    <w:rPr>
                      <w:rFonts w:cstheme="minorHAnsi"/>
                      <w:b/>
                      <w:bCs/>
                      <w:szCs w:val="24"/>
                    </w:rPr>
                  </w:pPr>
                  <w:r w:rsidRPr="00C91AAE">
                    <w:rPr>
                      <w:rFonts w:cstheme="minorHAnsi"/>
                      <w:b/>
                      <w:bCs/>
                      <w:szCs w:val="24"/>
                    </w:rPr>
                    <w:t>14.87%</w:t>
                  </w:r>
                </w:p>
              </w:tc>
            </w:tr>
          </w:tbl>
          <w:p w14:paraId="475B92CE" w14:textId="7452F44C" w:rsidR="00C91AAE" w:rsidRDefault="00C91AAE" w:rsidP="00C91AAE">
            <w:pPr>
              <w:rPr>
                <w:rFonts w:cstheme="minorHAnsi"/>
                <w:b/>
                <w:bCs/>
                <w:szCs w:val="24"/>
                <w:lang w:val="en-US"/>
              </w:rPr>
            </w:pPr>
            <w:r w:rsidRPr="00C91AAE">
              <w:rPr>
                <w:rFonts w:cstheme="minorHAnsi"/>
                <w:b/>
                <w:bCs/>
                <w:szCs w:val="24"/>
                <w:lang w:val="en-US"/>
              </w:rPr>
              <w:lastRenderedPageBreak/>
              <w:t xml:space="preserve">     </w:t>
            </w:r>
          </w:p>
          <w:p w14:paraId="646ED374" w14:textId="2CF4D351" w:rsidR="00C91AAE" w:rsidRPr="00C91AAE" w:rsidRDefault="00C91AAE" w:rsidP="00C91AAE">
            <w:pPr>
              <w:rPr>
                <w:rFonts w:cstheme="minorHAnsi"/>
                <w:b/>
                <w:bCs/>
                <w:szCs w:val="24"/>
                <w:lang w:val="en-US"/>
              </w:rPr>
            </w:pPr>
            <w:r w:rsidRPr="00C91AAE">
              <w:rPr>
                <w:rFonts w:cstheme="minorHAnsi"/>
                <w:b/>
                <w:bCs/>
                <w:szCs w:val="24"/>
                <w:lang w:val="en-US"/>
              </w:rPr>
              <w:t xml:space="preserve">  Table 8: Pay by Ethnicity, analysed by pay band groupings as of 31 March 2023</w:t>
            </w:r>
          </w:p>
          <w:p w14:paraId="154C5A5D" w14:textId="77777777" w:rsidR="00C91AAE" w:rsidRPr="00C91AAE" w:rsidRDefault="00C91AAE" w:rsidP="00C91AAE">
            <w:pPr>
              <w:rPr>
                <w:rFonts w:cstheme="minorHAnsi"/>
                <w:b/>
                <w:bCs/>
                <w:szCs w:val="24"/>
                <w:lang w:val="en-US"/>
              </w:rPr>
            </w:pPr>
          </w:p>
          <w:p w14:paraId="2D336D64" w14:textId="77777777" w:rsidR="00C91AAE" w:rsidRPr="00C91AAE" w:rsidRDefault="00C91AAE" w:rsidP="00C91AAE">
            <w:pPr>
              <w:numPr>
                <w:ilvl w:val="1"/>
                <w:numId w:val="14"/>
              </w:numPr>
              <w:rPr>
                <w:rFonts w:cstheme="minorHAnsi"/>
                <w:szCs w:val="24"/>
              </w:rPr>
            </w:pPr>
            <w:r w:rsidRPr="00C91AAE">
              <w:rPr>
                <w:rFonts w:cstheme="minorHAnsi"/>
                <w:szCs w:val="24"/>
              </w:rPr>
              <w:t>In 2022, the Mean Bonus Pay Gap was 14.17% in favour of White colleagues, reflecting a significant disparity in bonus distribution. By 2023, this gap shifted to -5.89% in favour of BME colleagues, marking an improvement in pay equity. By 2024, this trend continued, with the Mean Bonus Pay Gap widening further in favour of BME colleagues to -66.25%, meaning BME staff now receive a higher average bonus than their White colleagues (£19,029.06 vs. £11,446.02). Similarly, the Median Bonus Pay Gap has shifted to -66.05%, a notable change from the 0% variance recorded in 2023, where median bonus pay was equal. These shifts indicate significant progress in bonus pay equity for BME colleagues, reflecting changes in the distribution of Clinical Excellence Awards (CEAs) and other performance-based payments. However, despite these improvements in bonus earnings, the overall hourly pay gap has widened, emphasising the ongoing need for targeted interventions to ensure long-term pay equity and career progression across all levels.</w:t>
            </w:r>
          </w:p>
          <w:p w14:paraId="59A32646" w14:textId="77777777" w:rsidR="00C91AAE" w:rsidRPr="00C91AAE" w:rsidRDefault="00C91AAE" w:rsidP="00C91AAE">
            <w:pPr>
              <w:rPr>
                <w:rFonts w:cstheme="minorHAnsi"/>
                <w:b/>
                <w:bCs/>
                <w:szCs w:val="24"/>
              </w:rPr>
            </w:pPr>
          </w:p>
          <w:tbl>
            <w:tblPr>
              <w:tblW w:w="9113" w:type="dxa"/>
              <w:tblInd w:w="595" w:type="dxa"/>
              <w:tblLook w:val="04A0" w:firstRow="1" w:lastRow="0" w:firstColumn="1" w:lastColumn="0" w:noHBand="0" w:noVBand="1"/>
            </w:tblPr>
            <w:tblGrid>
              <w:gridCol w:w="3086"/>
              <w:gridCol w:w="3402"/>
              <w:gridCol w:w="2625"/>
            </w:tblGrid>
            <w:tr w:rsidR="00C91AAE" w:rsidRPr="00C91AAE" w14:paraId="4B057D86" w14:textId="77777777" w:rsidTr="003352D5">
              <w:trPr>
                <w:trHeight w:val="577"/>
              </w:trPr>
              <w:tc>
                <w:tcPr>
                  <w:tcW w:w="3086" w:type="dxa"/>
                  <w:tcBorders>
                    <w:top w:val="single" w:sz="4" w:space="0" w:color="979991"/>
                    <w:left w:val="single" w:sz="4" w:space="0" w:color="979991"/>
                    <w:bottom w:val="nil"/>
                    <w:right w:val="nil"/>
                  </w:tcBorders>
                  <w:shd w:val="clear" w:color="000000" w:fill="0066CC"/>
                  <w:hideMark/>
                </w:tcPr>
                <w:p w14:paraId="63001F33" w14:textId="77777777" w:rsidR="00C91AAE" w:rsidRPr="00C91AAE" w:rsidRDefault="00C91AAE" w:rsidP="00C91AAE">
                  <w:pPr>
                    <w:rPr>
                      <w:rFonts w:cstheme="minorHAnsi"/>
                      <w:b/>
                      <w:bCs/>
                      <w:szCs w:val="24"/>
                    </w:rPr>
                  </w:pPr>
                  <w:r w:rsidRPr="00C91AAE">
                    <w:rPr>
                      <w:rFonts w:cstheme="minorHAnsi"/>
                      <w:b/>
                      <w:bCs/>
                      <w:szCs w:val="24"/>
                    </w:rPr>
                    <w:t>Ethnicity</w:t>
                  </w:r>
                </w:p>
              </w:tc>
              <w:tc>
                <w:tcPr>
                  <w:tcW w:w="3402" w:type="dxa"/>
                  <w:tcBorders>
                    <w:top w:val="single" w:sz="4" w:space="0" w:color="979991"/>
                    <w:left w:val="single" w:sz="4" w:space="0" w:color="979991"/>
                    <w:bottom w:val="single" w:sz="4" w:space="0" w:color="979991"/>
                    <w:right w:val="nil"/>
                  </w:tcBorders>
                  <w:shd w:val="clear" w:color="000000" w:fill="0066CC"/>
                  <w:hideMark/>
                </w:tcPr>
                <w:p w14:paraId="16B9C437" w14:textId="77777777" w:rsidR="00C91AAE" w:rsidRPr="00C91AAE" w:rsidRDefault="00C91AAE" w:rsidP="00C91AAE">
                  <w:pPr>
                    <w:rPr>
                      <w:rFonts w:cstheme="minorHAnsi"/>
                      <w:b/>
                      <w:bCs/>
                      <w:szCs w:val="24"/>
                    </w:rPr>
                  </w:pPr>
                  <w:r w:rsidRPr="00C91AAE">
                    <w:rPr>
                      <w:rFonts w:cstheme="minorHAnsi"/>
                      <w:b/>
                      <w:bCs/>
                      <w:szCs w:val="24"/>
                    </w:rPr>
                    <w:t>Avg. Hourly Rate</w:t>
                  </w:r>
                </w:p>
              </w:tc>
              <w:tc>
                <w:tcPr>
                  <w:tcW w:w="2625" w:type="dxa"/>
                  <w:tcBorders>
                    <w:top w:val="single" w:sz="4" w:space="0" w:color="979991"/>
                    <w:left w:val="single" w:sz="4" w:space="0" w:color="979991"/>
                    <w:bottom w:val="single" w:sz="4" w:space="0" w:color="979991"/>
                    <w:right w:val="single" w:sz="4" w:space="0" w:color="979991"/>
                  </w:tcBorders>
                  <w:shd w:val="clear" w:color="000000" w:fill="0066CC"/>
                  <w:hideMark/>
                </w:tcPr>
                <w:p w14:paraId="6FA93FE7" w14:textId="77777777" w:rsidR="00C91AAE" w:rsidRPr="00C91AAE" w:rsidRDefault="00C91AAE" w:rsidP="00C91AAE">
                  <w:pPr>
                    <w:rPr>
                      <w:rFonts w:cstheme="minorHAnsi"/>
                      <w:b/>
                      <w:bCs/>
                      <w:szCs w:val="24"/>
                    </w:rPr>
                  </w:pPr>
                  <w:r w:rsidRPr="00C91AAE">
                    <w:rPr>
                      <w:rFonts w:cstheme="minorHAnsi"/>
                      <w:b/>
                      <w:bCs/>
                      <w:szCs w:val="24"/>
                    </w:rPr>
                    <w:t>Median Hourly Rate</w:t>
                  </w:r>
                </w:p>
              </w:tc>
            </w:tr>
            <w:tr w:rsidR="00C91AAE" w:rsidRPr="00C91AAE" w14:paraId="774A207F" w14:textId="77777777" w:rsidTr="003352D5">
              <w:trPr>
                <w:trHeight w:val="288"/>
              </w:trPr>
              <w:tc>
                <w:tcPr>
                  <w:tcW w:w="3086" w:type="dxa"/>
                  <w:tcBorders>
                    <w:top w:val="single" w:sz="4" w:space="0" w:color="979991"/>
                    <w:left w:val="single" w:sz="4" w:space="0" w:color="979991"/>
                    <w:bottom w:val="single" w:sz="4" w:space="0" w:color="979991"/>
                    <w:right w:val="nil"/>
                  </w:tcBorders>
                  <w:shd w:val="clear" w:color="000000" w:fill="0066CC"/>
                  <w:hideMark/>
                </w:tcPr>
                <w:p w14:paraId="2CAD5A38" w14:textId="77777777" w:rsidR="00C91AAE" w:rsidRPr="00C91AAE" w:rsidRDefault="00C91AAE" w:rsidP="00C91AAE">
                  <w:pPr>
                    <w:rPr>
                      <w:rFonts w:cstheme="minorHAnsi"/>
                      <w:b/>
                      <w:bCs/>
                      <w:szCs w:val="24"/>
                    </w:rPr>
                  </w:pPr>
                  <w:r w:rsidRPr="00C91AAE">
                    <w:rPr>
                      <w:rFonts w:cstheme="minorHAnsi"/>
                      <w:b/>
                      <w:bCs/>
                      <w:szCs w:val="24"/>
                    </w:rPr>
                    <w:t>BME</w:t>
                  </w:r>
                </w:p>
              </w:tc>
              <w:tc>
                <w:tcPr>
                  <w:tcW w:w="3402" w:type="dxa"/>
                  <w:tcBorders>
                    <w:top w:val="nil"/>
                    <w:left w:val="single" w:sz="4" w:space="0" w:color="979991"/>
                    <w:bottom w:val="single" w:sz="4" w:space="0" w:color="979991"/>
                    <w:right w:val="nil"/>
                  </w:tcBorders>
                  <w:shd w:val="clear" w:color="000000" w:fill="FFFFFF"/>
                  <w:hideMark/>
                </w:tcPr>
                <w:p w14:paraId="116AD656" w14:textId="77777777" w:rsidR="00C91AAE" w:rsidRPr="00C91AAE" w:rsidRDefault="00C91AAE" w:rsidP="00C91AAE">
                  <w:pPr>
                    <w:rPr>
                      <w:rFonts w:cstheme="minorHAnsi"/>
                      <w:b/>
                      <w:bCs/>
                      <w:szCs w:val="24"/>
                    </w:rPr>
                  </w:pPr>
                  <w:r w:rsidRPr="00C91AAE">
                    <w:rPr>
                      <w:rFonts w:cstheme="minorHAnsi"/>
                      <w:b/>
                      <w:bCs/>
                      <w:szCs w:val="24"/>
                    </w:rPr>
                    <w:t>£19,029.06</w:t>
                  </w:r>
                </w:p>
              </w:tc>
              <w:tc>
                <w:tcPr>
                  <w:tcW w:w="2625" w:type="dxa"/>
                  <w:tcBorders>
                    <w:top w:val="nil"/>
                    <w:left w:val="single" w:sz="4" w:space="0" w:color="979991"/>
                    <w:bottom w:val="single" w:sz="4" w:space="0" w:color="979991"/>
                    <w:right w:val="single" w:sz="4" w:space="0" w:color="979991"/>
                  </w:tcBorders>
                  <w:shd w:val="clear" w:color="000000" w:fill="FFFFFF"/>
                  <w:hideMark/>
                </w:tcPr>
                <w:p w14:paraId="4AAD595D" w14:textId="77777777" w:rsidR="00C91AAE" w:rsidRPr="00C91AAE" w:rsidRDefault="00C91AAE" w:rsidP="00C91AAE">
                  <w:pPr>
                    <w:rPr>
                      <w:rFonts w:cstheme="minorHAnsi"/>
                      <w:b/>
                      <w:bCs/>
                      <w:szCs w:val="24"/>
                    </w:rPr>
                  </w:pPr>
                  <w:r w:rsidRPr="00C91AAE">
                    <w:rPr>
                      <w:rFonts w:cstheme="minorHAnsi"/>
                      <w:b/>
                      <w:bCs/>
                      <w:szCs w:val="24"/>
                    </w:rPr>
                    <w:t>£14,053.51</w:t>
                  </w:r>
                </w:p>
              </w:tc>
            </w:tr>
            <w:tr w:rsidR="00C91AAE" w:rsidRPr="00C91AAE" w14:paraId="0E280163" w14:textId="77777777" w:rsidTr="003352D5">
              <w:trPr>
                <w:trHeight w:val="288"/>
              </w:trPr>
              <w:tc>
                <w:tcPr>
                  <w:tcW w:w="3086" w:type="dxa"/>
                  <w:tcBorders>
                    <w:top w:val="nil"/>
                    <w:left w:val="single" w:sz="4" w:space="0" w:color="979991"/>
                    <w:bottom w:val="single" w:sz="4" w:space="0" w:color="979991"/>
                    <w:right w:val="nil"/>
                  </w:tcBorders>
                  <w:shd w:val="clear" w:color="000000" w:fill="0066CC"/>
                  <w:hideMark/>
                </w:tcPr>
                <w:p w14:paraId="71CD8E90" w14:textId="77777777" w:rsidR="00C91AAE" w:rsidRPr="00C91AAE" w:rsidRDefault="00C91AAE" w:rsidP="00C91AAE">
                  <w:pPr>
                    <w:rPr>
                      <w:rFonts w:cstheme="minorHAnsi"/>
                      <w:b/>
                      <w:bCs/>
                      <w:szCs w:val="24"/>
                    </w:rPr>
                  </w:pPr>
                  <w:r w:rsidRPr="00C91AAE">
                    <w:rPr>
                      <w:rFonts w:cstheme="minorHAnsi"/>
                      <w:b/>
                      <w:bCs/>
                      <w:szCs w:val="24"/>
                    </w:rPr>
                    <w:t>White</w:t>
                  </w:r>
                </w:p>
              </w:tc>
              <w:tc>
                <w:tcPr>
                  <w:tcW w:w="3402" w:type="dxa"/>
                  <w:tcBorders>
                    <w:top w:val="nil"/>
                    <w:left w:val="single" w:sz="4" w:space="0" w:color="979991"/>
                    <w:bottom w:val="single" w:sz="4" w:space="0" w:color="979991"/>
                    <w:right w:val="nil"/>
                  </w:tcBorders>
                  <w:shd w:val="clear" w:color="000000" w:fill="FFFFFF"/>
                  <w:hideMark/>
                </w:tcPr>
                <w:p w14:paraId="75E30FD6" w14:textId="77777777" w:rsidR="00C91AAE" w:rsidRPr="00C91AAE" w:rsidRDefault="00C91AAE" w:rsidP="00C91AAE">
                  <w:pPr>
                    <w:rPr>
                      <w:rFonts w:cstheme="minorHAnsi"/>
                      <w:b/>
                      <w:bCs/>
                      <w:szCs w:val="24"/>
                    </w:rPr>
                  </w:pPr>
                  <w:r w:rsidRPr="00C91AAE">
                    <w:rPr>
                      <w:rFonts w:cstheme="minorHAnsi"/>
                      <w:b/>
                      <w:bCs/>
                      <w:szCs w:val="24"/>
                    </w:rPr>
                    <w:t>£11,446.02</w:t>
                  </w:r>
                </w:p>
              </w:tc>
              <w:tc>
                <w:tcPr>
                  <w:tcW w:w="2625" w:type="dxa"/>
                  <w:tcBorders>
                    <w:top w:val="nil"/>
                    <w:left w:val="single" w:sz="4" w:space="0" w:color="979991"/>
                    <w:bottom w:val="single" w:sz="4" w:space="0" w:color="979991"/>
                    <w:right w:val="single" w:sz="4" w:space="0" w:color="979991"/>
                  </w:tcBorders>
                  <w:shd w:val="clear" w:color="000000" w:fill="FFFFFF"/>
                  <w:hideMark/>
                </w:tcPr>
                <w:p w14:paraId="22E389BE" w14:textId="77777777" w:rsidR="00C91AAE" w:rsidRPr="00C91AAE" w:rsidRDefault="00C91AAE" w:rsidP="00C91AAE">
                  <w:pPr>
                    <w:rPr>
                      <w:rFonts w:cstheme="minorHAnsi"/>
                      <w:b/>
                      <w:bCs/>
                      <w:szCs w:val="24"/>
                    </w:rPr>
                  </w:pPr>
                  <w:r w:rsidRPr="00C91AAE">
                    <w:rPr>
                      <w:rFonts w:cstheme="minorHAnsi"/>
                      <w:b/>
                      <w:bCs/>
                      <w:szCs w:val="24"/>
                    </w:rPr>
                    <w:t>£8,463.64</w:t>
                  </w:r>
                </w:p>
              </w:tc>
            </w:tr>
            <w:tr w:rsidR="00C91AAE" w:rsidRPr="00C91AAE" w14:paraId="2E4D526D" w14:textId="77777777" w:rsidTr="003352D5">
              <w:trPr>
                <w:trHeight w:val="288"/>
              </w:trPr>
              <w:tc>
                <w:tcPr>
                  <w:tcW w:w="3086" w:type="dxa"/>
                  <w:tcBorders>
                    <w:top w:val="nil"/>
                    <w:left w:val="single" w:sz="4" w:space="0" w:color="979991"/>
                    <w:bottom w:val="single" w:sz="4" w:space="0" w:color="979991"/>
                    <w:right w:val="nil"/>
                  </w:tcBorders>
                  <w:shd w:val="clear" w:color="000000" w:fill="0066CC"/>
                  <w:hideMark/>
                </w:tcPr>
                <w:p w14:paraId="2FC9F1C2" w14:textId="77777777" w:rsidR="00C91AAE" w:rsidRPr="00C91AAE" w:rsidRDefault="00C91AAE" w:rsidP="00C91AAE">
                  <w:pPr>
                    <w:rPr>
                      <w:rFonts w:cstheme="minorHAnsi"/>
                      <w:b/>
                      <w:bCs/>
                      <w:szCs w:val="24"/>
                    </w:rPr>
                  </w:pPr>
                  <w:r w:rsidRPr="00C91AAE">
                    <w:rPr>
                      <w:rFonts w:cstheme="minorHAnsi"/>
                      <w:b/>
                      <w:bCs/>
                      <w:szCs w:val="24"/>
                    </w:rPr>
                    <w:t>Difference</w:t>
                  </w:r>
                </w:p>
              </w:tc>
              <w:tc>
                <w:tcPr>
                  <w:tcW w:w="3402" w:type="dxa"/>
                  <w:tcBorders>
                    <w:top w:val="nil"/>
                    <w:left w:val="single" w:sz="4" w:space="0" w:color="979991"/>
                    <w:bottom w:val="single" w:sz="4" w:space="0" w:color="979991"/>
                    <w:right w:val="single" w:sz="4" w:space="0" w:color="979991"/>
                  </w:tcBorders>
                  <w:shd w:val="clear" w:color="000000" w:fill="FFFFFF"/>
                  <w:hideMark/>
                </w:tcPr>
                <w:p w14:paraId="714C5B31" w14:textId="77777777" w:rsidR="00C91AAE" w:rsidRPr="00C91AAE" w:rsidRDefault="00C91AAE" w:rsidP="00C91AAE">
                  <w:pPr>
                    <w:rPr>
                      <w:rFonts w:cstheme="minorHAnsi"/>
                      <w:b/>
                      <w:bCs/>
                      <w:szCs w:val="24"/>
                    </w:rPr>
                  </w:pPr>
                  <w:r w:rsidRPr="00C91AAE">
                    <w:rPr>
                      <w:rFonts w:cstheme="minorHAnsi"/>
                      <w:b/>
                      <w:bCs/>
                      <w:szCs w:val="24"/>
                    </w:rPr>
                    <w:t>-£7,583.04</w:t>
                  </w:r>
                </w:p>
              </w:tc>
              <w:tc>
                <w:tcPr>
                  <w:tcW w:w="2625" w:type="dxa"/>
                  <w:tcBorders>
                    <w:top w:val="nil"/>
                    <w:left w:val="nil"/>
                    <w:bottom w:val="single" w:sz="4" w:space="0" w:color="979991"/>
                    <w:right w:val="single" w:sz="4" w:space="0" w:color="979991"/>
                  </w:tcBorders>
                  <w:shd w:val="clear" w:color="000000" w:fill="FFFFFF"/>
                  <w:hideMark/>
                </w:tcPr>
                <w:p w14:paraId="19535E17" w14:textId="77777777" w:rsidR="00C91AAE" w:rsidRPr="00C91AAE" w:rsidRDefault="00C91AAE" w:rsidP="00C91AAE">
                  <w:pPr>
                    <w:rPr>
                      <w:rFonts w:cstheme="minorHAnsi"/>
                      <w:b/>
                      <w:bCs/>
                      <w:szCs w:val="24"/>
                    </w:rPr>
                  </w:pPr>
                  <w:r w:rsidRPr="00C91AAE">
                    <w:rPr>
                      <w:rFonts w:cstheme="minorHAnsi"/>
                      <w:b/>
                      <w:bCs/>
                      <w:szCs w:val="24"/>
                    </w:rPr>
                    <w:t>-£5,589.87</w:t>
                  </w:r>
                </w:p>
              </w:tc>
            </w:tr>
            <w:tr w:rsidR="00C91AAE" w:rsidRPr="00C91AAE" w14:paraId="2B5BF311" w14:textId="77777777" w:rsidTr="003352D5">
              <w:trPr>
                <w:trHeight w:val="288"/>
              </w:trPr>
              <w:tc>
                <w:tcPr>
                  <w:tcW w:w="3086" w:type="dxa"/>
                  <w:tcBorders>
                    <w:top w:val="nil"/>
                    <w:left w:val="single" w:sz="4" w:space="0" w:color="979991"/>
                    <w:bottom w:val="single" w:sz="4" w:space="0" w:color="979991"/>
                    <w:right w:val="nil"/>
                  </w:tcBorders>
                  <w:shd w:val="clear" w:color="000000" w:fill="0066CC"/>
                  <w:hideMark/>
                </w:tcPr>
                <w:p w14:paraId="675FF0AB" w14:textId="77777777" w:rsidR="00C91AAE" w:rsidRPr="00C91AAE" w:rsidRDefault="00C91AAE" w:rsidP="00C91AAE">
                  <w:pPr>
                    <w:rPr>
                      <w:rFonts w:cstheme="minorHAnsi"/>
                      <w:b/>
                      <w:bCs/>
                      <w:szCs w:val="24"/>
                    </w:rPr>
                  </w:pPr>
                  <w:r w:rsidRPr="00C91AAE">
                    <w:rPr>
                      <w:rFonts w:cstheme="minorHAnsi"/>
                      <w:b/>
                      <w:bCs/>
                      <w:szCs w:val="24"/>
                    </w:rPr>
                    <w:t>Pay Gap %</w:t>
                  </w:r>
                </w:p>
              </w:tc>
              <w:tc>
                <w:tcPr>
                  <w:tcW w:w="3402" w:type="dxa"/>
                  <w:tcBorders>
                    <w:top w:val="nil"/>
                    <w:left w:val="single" w:sz="4" w:space="0" w:color="979991"/>
                    <w:bottom w:val="single" w:sz="4" w:space="0" w:color="979991"/>
                    <w:right w:val="nil"/>
                  </w:tcBorders>
                  <w:shd w:val="clear" w:color="000000" w:fill="FFFFFF"/>
                  <w:hideMark/>
                </w:tcPr>
                <w:p w14:paraId="66A0BE7D" w14:textId="77777777" w:rsidR="00C91AAE" w:rsidRPr="00C91AAE" w:rsidRDefault="00C91AAE" w:rsidP="00C91AAE">
                  <w:pPr>
                    <w:rPr>
                      <w:rFonts w:cstheme="minorHAnsi"/>
                      <w:b/>
                      <w:bCs/>
                      <w:szCs w:val="24"/>
                    </w:rPr>
                  </w:pPr>
                  <w:r w:rsidRPr="00C91AAE">
                    <w:rPr>
                      <w:rFonts w:cstheme="minorHAnsi"/>
                      <w:b/>
                      <w:bCs/>
                      <w:szCs w:val="24"/>
                    </w:rPr>
                    <w:t>-66.25%</w:t>
                  </w:r>
                </w:p>
              </w:tc>
              <w:tc>
                <w:tcPr>
                  <w:tcW w:w="2625" w:type="dxa"/>
                  <w:tcBorders>
                    <w:top w:val="nil"/>
                    <w:left w:val="single" w:sz="4" w:space="0" w:color="979991"/>
                    <w:bottom w:val="single" w:sz="4" w:space="0" w:color="979991"/>
                    <w:right w:val="single" w:sz="4" w:space="0" w:color="979991"/>
                  </w:tcBorders>
                  <w:shd w:val="clear" w:color="000000" w:fill="FFFFFF"/>
                  <w:hideMark/>
                </w:tcPr>
                <w:p w14:paraId="3FB8B09B" w14:textId="77777777" w:rsidR="00C91AAE" w:rsidRPr="00C91AAE" w:rsidRDefault="00C91AAE" w:rsidP="00C91AAE">
                  <w:pPr>
                    <w:rPr>
                      <w:rFonts w:cstheme="minorHAnsi"/>
                      <w:b/>
                      <w:bCs/>
                      <w:szCs w:val="24"/>
                    </w:rPr>
                  </w:pPr>
                  <w:r w:rsidRPr="00C91AAE">
                    <w:rPr>
                      <w:rFonts w:cstheme="minorHAnsi"/>
                      <w:b/>
                      <w:bCs/>
                      <w:szCs w:val="24"/>
                    </w:rPr>
                    <w:t>-66.05%</w:t>
                  </w:r>
                </w:p>
              </w:tc>
            </w:tr>
          </w:tbl>
          <w:p w14:paraId="018894F8" w14:textId="77777777" w:rsidR="00C91AAE" w:rsidRPr="00C91AAE" w:rsidRDefault="00C91AAE" w:rsidP="00C91AAE">
            <w:pPr>
              <w:rPr>
                <w:rFonts w:cstheme="minorHAnsi"/>
                <w:b/>
                <w:bCs/>
                <w:szCs w:val="24"/>
                <w:lang w:val="en-US"/>
              </w:rPr>
            </w:pPr>
            <w:r w:rsidRPr="00C91AAE">
              <w:rPr>
                <w:rFonts w:cstheme="minorHAnsi"/>
                <w:b/>
                <w:bCs/>
                <w:szCs w:val="24"/>
                <w:lang w:val="en-US"/>
              </w:rPr>
              <w:t xml:space="preserve">             Table 9: Bonus Pay by Ethnicity</w:t>
            </w:r>
          </w:p>
          <w:p w14:paraId="6FC78DA3" w14:textId="77777777" w:rsidR="00C91AAE" w:rsidRPr="00C91AAE" w:rsidRDefault="00C91AAE" w:rsidP="00C91AAE">
            <w:pPr>
              <w:rPr>
                <w:rFonts w:cstheme="minorHAnsi"/>
                <w:b/>
                <w:bCs/>
                <w:szCs w:val="24"/>
                <w:lang w:val="en-US"/>
              </w:rPr>
            </w:pPr>
          </w:p>
          <w:p w14:paraId="5591921D" w14:textId="77777777" w:rsidR="00C91AAE" w:rsidRPr="00C91AAE" w:rsidRDefault="00C91AAE" w:rsidP="00C91AAE">
            <w:pPr>
              <w:numPr>
                <w:ilvl w:val="0"/>
                <w:numId w:val="14"/>
              </w:numPr>
              <w:rPr>
                <w:rFonts w:cstheme="minorHAnsi"/>
                <w:b/>
                <w:bCs/>
                <w:szCs w:val="24"/>
                <w:lang w:val="en-US"/>
              </w:rPr>
            </w:pPr>
            <w:r w:rsidRPr="00C91AAE">
              <w:rPr>
                <w:rFonts w:cstheme="minorHAnsi"/>
                <w:b/>
                <w:bCs/>
                <w:szCs w:val="24"/>
                <w:lang w:val="en-US"/>
              </w:rPr>
              <w:t>Benchmarking</w:t>
            </w:r>
          </w:p>
          <w:p w14:paraId="1312C99A" w14:textId="08B1A099" w:rsidR="00C91AAE" w:rsidRPr="00C91AAE" w:rsidRDefault="00C91AAE" w:rsidP="00C91AAE">
            <w:pPr>
              <w:rPr>
                <w:rFonts w:cstheme="minorHAnsi"/>
                <w:szCs w:val="24"/>
              </w:rPr>
            </w:pPr>
            <w:r w:rsidRPr="00C91AAE">
              <w:rPr>
                <w:rFonts w:cstheme="minorHAnsi"/>
                <w:szCs w:val="24"/>
              </w:rPr>
              <w:t xml:space="preserve">As part of our commitment to transparency and system-wide learning, we have benchmarked Moorfields Eye Hospital’s 2024 Gender Pay Gap (GPG) data against peer organisations within our NHS network. This includes Liverpool Heart and Chest Hospital NHS Foundation Trust, Royal Orthopaedic Hospital, and </w:t>
            </w:r>
            <w:r w:rsidR="00BE3154">
              <w:rPr>
                <w:rFonts w:cstheme="minorHAnsi"/>
                <w:szCs w:val="24"/>
              </w:rPr>
              <w:t xml:space="preserve">the </w:t>
            </w:r>
            <w:r w:rsidRPr="00C91AAE">
              <w:rPr>
                <w:rFonts w:cstheme="minorHAnsi"/>
                <w:szCs w:val="24"/>
              </w:rPr>
              <w:t>Royal National Orthopaedic Hospital. This benchmarking exercise enables us to better understand how our gender equity efforts and performance compares within the broader system landscape, and where further progress can be made to close the gap.</w:t>
            </w:r>
          </w:p>
          <w:p w14:paraId="52CCDFE7" w14:textId="77777777" w:rsidR="00C91AAE" w:rsidRDefault="00C91AAE" w:rsidP="00C91AAE">
            <w:pPr>
              <w:rPr>
                <w:rFonts w:cstheme="minorHAnsi"/>
                <w:szCs w:val="24"/>
                <w:lang w:val="en-US"/>
              </w:rPr>
            </w:pPr>
          </w:p>
          <w:p w14:paraId="2D4DD2EF" w14:textId="77777777" w:rsidR="0053732D" w:rsidRDefault="0053732D" w:rsidP="00C91AAE">
            <w:pPr>
              <w:rPr>
                <w:rFonts w:cstheme="minorHAnsi"/>
                <w:szCs w:val="24"/>
                <w:lang w:val="en-US"/>
              </w:rPr>
            </w:pPr>
          </w:p>
          <w:p w14:paraId="6770A3BB" w14:textId="77777777" w:rsidR="0053732D" w:rsidRDefault="0053732D" w:rsidP="00C91AAE">
            <w:pPr>
              <w:rPr>
                <w:rFonts w:cstheme="minorHAnsi"/>
                <w:szCs w:val="24"/>
                <w:lang w:val="en-US"/>
              </w:rPr>
            </w:pPr>
          </w:p>
          <w:p w14:paraId="0BCCA317" w14:textId="77777777" w:rsidR="0053732D" w:rsidRDefault="0053732D" w:rsidP="00C91AAE">
            <w:pPr>
              <w:rPr>
                <w:rFonts w:cstheme="minorHAnsi"/>
                <w:szCs w:val="24"/>
                <w:lang w:val="en-US"/>
              </w:rPr>
            </w:pPr>
          </w:p>
          <w:p w14:paraId="4ACD4613" w14:textId="77777777" w:rsidR="0053732D" w:rsidRDefault="0053732D" w:rsidP="00C91AAE">
            <w:pPr>
              <w:rPr>
                <w:rFonts w:cstheme="minorHAnsi"/>
                <w:szCs w:val="24"/>
                <w:lang w:val="en-US"/>
              </w:rPr>
            </w:pPr>
          </w:p>
          <w:p w14:paraId="491CA86C" w14:textId="77777777" w:rsidR="0053732D" w:rsidRDefault="0053732D" w:rsidP="00C91AAE">
            <w:pPr>
              <w:rPr>
                <w:rFonts w:cstheme="minorHAnsi"/>
                <w:szCs w:val="24"/>
                <w:lang w:val="en-US"/>
              </w:rPr>
            </w:pPr>
          </w:p>
          <w:p w14:paraId="2E79550C" w14:textId="77777777" w:rsidR="0053732D" w:rsidRPr="00C91AAE" w:rsidRDefault="0053732D" w:rsidP="00C91AAE">
            <w:pPr>
              <w:rPr>
                <w:rFonts w:cstheme="minorHAnsi"/>
                <w:szCs w:val="24"/>
                <w:lang w:val="en-US"/>
              </w:rPr>
            </w:pPr>
          </w:p>
          <w:tbl>
            <w:tblPr>
              <w:tblW w:w="911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3402"/>
              <w:gridCol w:w="2625"/>
            </w:tblGrid>
            <w:tr w:rsidR="00C91AAE" w:rsidRPr="00C91AAE" w14:paraId="3EA162CF" w14:textId="77777777" w:rsidTr="003352D5">
              <w:trPr>
                <w:trHeight w:val="577"/>
              </w:trPr>
              <w:tc>
                <w:tcPr>
                  <w:tcW w:w="3086" w:type="dxa"/>
                  <w:shd w:val="clear" w:color="000000" w:fill="0066CC"/>
                  <w:hideMark/>
                </w:tcPr>
                <w:p w14:paraId="18B67B49" w14:textId="77777777" w:rsidR="00C91AAE" w:rsidRPr="00C91AAE" w:rsidRDefault="00C91AAE" w:rsidP="00C91AAE">
                  <w:pPr>
                    <w:rPr>
                      <w:rFonts w:cstheme="minorHAnsi"/>
                      <w:b/>
                      <w:bCs/>
                      <w:szCs w:val="24"/>
                    </w:rPr>
                  </w:pPr>
                  <w:r w:rsidRPr="00C91AAE">
                    <w:rPr>
                      <w:rFonts w:cstheme="minorHAnsi"/>
                      <w:b/>
                      <w:bCs/>
                      <w:szCs w:val="24"/>
                    </w:rPr>
                    <w:t>Organisation</w:t>
                  </w:r>
                </w:p>
              </w:tc>
              <w:tc>
                <w:tcPr>
                  <w:tcW w:w="3402" w:type="dxa"/>
                  <w:shd w:val="clear" w:color="000000" w:fill="0066CC"/>
                  <w:hideMark/>
                </w:tcPr>
                <w:p w14:paraId="2BA4553F" w14:textId="77777777" w:rsidR="00C91AAE" w:rsidRPr="00C91AAE" w:rsidRDefault="00C91AAE" w:rsidP="00C91AAE">
                  <w:pPr>
                    <w:rPr>
                      <w:rFonts w:cstheme="minorHAnsi"/>
                      <w:b/>
                      <w:bCs/>
                      <w:szCs w:val="24"/>
                    </w:rPr>
                  </w:pPr>
                  <w:r w:rsidRPr="00C91AAE">
                    <w:rPr>
                      <w:rFonts w:cstheme="minorHAnsi"/>
                      <w:b/>
                      <w:bCs/>
                      <w:szCs w:val="24"/>
                    </w:rPr>
                    <w:t>Mean GPG 2024</w:t>
                  </w:r>
                </w:p>
              </w:tc>
              <w:tc>
                <w:tcPr>
                  <w:tcW w:w="2625" w:type="dxa"/>
                  <w:shd w:val="clear" w:color="000000" w:fill="0066CC"/>
                  <w:hideMark/>
                </w:tcPr>
                <w:p w14:paraId="5A670E6D" w14:textId="77777777" w:rsidR="00C91AAE" w:rsidRPr="00C91AAE" w:rsidRDefault="00C91AAE" w:rsidP="00C91AAE">
                  <w:pPr>
                    <w:rPr>
                      <w:rFonts w:cstheme="minorHAnsi"/>
                      <w:b/>
                      <w:bCs/>
                      <w:szCs w:val="24"/>
                    </w:rPr>
                  </w:pPr>
                  <w:r w:rsidRPr="00C91AAE">
                    <w:rPr>
                      <w:rFonts w:cstheme="minorHAnsi"/>
                      <w:b/>
                      <w:bCs/>
                      <w:szCs w:val="24"/>
                    </w:rPr>
                    <w:t>Median GPG 2024</w:t>
                  </w:r>
                </w:p>
              </w:tc>
            </w:tr>
            <w:tr w:rsidR="00C91AAE" w:rsidRPr="00C91AAE" w:rsidDel="003C174D" w14:paraId="3137D7C8" w14:textId="77777777" w:rsidTr="003352D5">
              <w:trPr>
                <w:trHeight w:val="288"/>
              </w:trPr>
              <w:tc>
                <w:tcPr>
                  <w:tcW w:w="3086" w:type="dxa"/>
                  <w:shd w:val="clear" w:color="000000" w:fill="0066CC"/>
                </w:tcPr>
                <w:p w14:paraId="505878AA" w14:textId="77777777" w:rsidR="00C91AAE" w:rsidRPr="00C91AAE" w:rsidDel="003C174D" w:rsidRDefault="00C91AAE" w:rsidP="00C91AAE">
                  <w:pPr>
                    <w:rPr>
                      <w:rFonts w:cstheme="minorHAnsi"/>
                      <w:b/>
                      <w:bCs/>
                      <w:color w:val="FFFFFF" w:themeColor="background1"/>
                      <w:szCs w:val="24"/>
                    </w:rPr>
                  </w:pPr>
                  <w:hyperlink r:id="rId12" w:history="1">
                    <w:r w:rsidRPr="00C91AAE">
                      <w:rPr>
                        <w:rStyle w:val="Hyperlink"/>
                        <w:rFonts w:cstheme="minorHAnsi"/>
                        <w:b/>
                        <w:bCs/>
                        <w:color w:val="FFFFFF" w:themeColor="background1"/>
                        <w:szCs w:val="24"/>
                        <w:u w:val="none"/>
                      </w:rPr>
                      <w:t xml:space="preserve">Royal Orthopaedic Hospital </w:t>
                    </w:r>
                  </w:hyperlink>
                </w:p>
              </w:tc>
              <w:tc>
                <w:tcPr>
                  <w:tcW w:w="3402" w:type="dxa"/>
                  <w:shd w:val="clear" w:color="000000" w:fill="FFFFFF"/>
                </w:tcPr>
                <w:p w14:paraId="6D19E6F3" w14:textId="77777777" w:rsidR="00C91AAE" w:rsidRPr="00C91AAE" w:rsidDel="003C174D" w:rsidRDefault="00C91AAE" w:rsidP="00C91AAE">
                  <w:pPr>
                    <w:rPr>
                      <w:rFonts w:cstheme="minorHAnsi"/>
                      <w:b/>
                      <w:bCs/>
                      <w:szCs w:val="24"/>
                    </w:rPr>
                  </w:pPr>
                  <w:r w:rsidRPr="00C91AAE">
                    <w:rPr>
                      <w:rFonts w:cstheme="minorHAnsi"/>
                      <w:b/>
                      <w:bCs/>
                      <w:szCs w:val="24"/>
                    </w:rPr>
                    <w:t>31.69%</w:t>
                  </w:r>
                </w:p>
              </w:tc>
              <w:tc>
                <w:tcPr>
                  <w:tcW w:w="2625" w:type="dxa"/>
                  <w:shd w:val="clear" w:color="000000" w:fill="FFFFFF"/>
                </w:tcPr>
                <w:p w14:paraId="15BDE646" w14:textId="77777777" w:rsidR="00C91AAE" w:rsidRPr="00C91AAE" w:rsidDel="003C174D" w:rsidRDefault="00C91AAE" w:rsidP="00C91AAE">
                  <w:pPr>
                    <w:rPr>
                      <w:rFonts w:cstheme="minorHAnsi"/>
                      <w:b/>
                      <w:bCs/>
                      <w:szCs w:val="24"/>
                    </w:rPr>
                  </w:pPr>
                  <w:r w:rsidRPr="00C91AAE">
                    <w:rPr>
                      <w:rFonts w:cstheme="minorHAnsi"/>
                      <w:b/>
                      <w:bCs/>
                      <w:szCs w:val="24"/>
                    </w:rPr>
                    <w:t>18.61%</w:t>
                  </w:r>
                </w:p>
              </w:tc>
            </w:tr>
            <w:tr w:rsidR="00C91AAE" w:rsidRPr="00C91AAE" w:rsidDel="003C174D" w14:paraId="663DD09C" w14:textId="77777777" w:rsidTr="003352D5">
              <w:trPr>
                <w:trHeight w:val="288"/>
              </w:trPr>
              <w:tc>
                <w:tcPr>
                  <w:tcW w:w="3086" w:type="dxa"/>
                  <w:shd w:val="clear" w:color="000000" w:fill="0066CC"/>
                </w:tcPr>
                <w:p w14:paraId="465DF104" w14:textId="59C69079" w:rsidR="00C91AAE" w:rsidRPr="00C91AAE" w:rsidRDefault="00067242" w:rsidP="00C91AAE">
                  <w:pPr>
                    <w:rPr>
                      <w:rFonts w:cstheme="minorHAnsi"/>
                      <w:b/>
                      <w:bCs/>
                      <w:color w:val="FFFFFF" w:themeColor="background1"/>
                      <w:szCs w:val="24"/>
                    </w:rPr>
                  </w:pPr>
                  <w:r w:rsidRPr="00067242">
                    <w:rPr>
                      <w:b/>
                      <w:bCs/>
                      <w:color w:val="FFFFFF" w:themeColor="background1"/>
                    </w:rPr>
                    <w:t>Royal</w:t>
                  </w:r>
                  <w:r>
                    <w:t xml:space="preserve"> </w:t>
                  </w:r>
                  <w:hyperlink r:id="rId13" w:history="1">
                    <w:r w:rsidR="00C91AAE" w:rsidRPr="00C91AAE">
                      <w:rPr>
                        <w:rStyle w:val="Hyperlink"/>
                        <w:rFonts w:cstheme="minorHAnsi"/>
                        <w:b/>
                        <w:bCs/>
                        <w:color w:val="FFFFFF" w:themeColor="background1"/>
                        <w:szCs w:val="24"/>
                        <w:u w:val="none"/>
                      </w:rPr>
                      <w:t>National Orthopaedic Hospital</w:t>
                    </w:r>
                  </w:hyperlink>
                </w:p>
              </w:tc>
              <w:tc>
                <w:tcPr>
                  <w:tcW w:w="3402" w:type="dxa"/>
                  <w:shd w:val="clear" w:color="000000" w:fill="FFFFFF"/>
                </w:tcPr>
                <w:p w14:paraId="1CF40CBC" w14:textId="77777777" w:rsidR="00C91AAE" w:rsidRPr="00C91AAE" w:rsidRDefault="00C91AAE" w:rsidP="00C91AAE">
                  <w:pPr>
                    <w:rPr>
                      <w:rFonts w:cstheme="minorHAnsi"/>
                      <w:b/>
                      <w:bCs/>
                      <w:szCs w:val="24"/>
                    </w:rPr>
                  </w:pPr>
                  <w:r w:rsidRPr="00C91AAE">
                    <w:rPr>
                      <w:rFonts w:cstheme="minorHAnsi"/>
                      <w:b/>
                      <w:bCs/>
                      <w:szCs w:val="24"/>
                    </w:rPr>
                    <w:t>25.08%</w:t>
                  </w:r>
                </w:p>
              </w:tc>
              <w:tc>
                <w:tcPr>
                  <w:tcW w:w="2625" w:type="dxa"/>
                  <w:shd w:val="clear" w:color="000000" w:fill="FFFFFF"/>
                </w:tcPr>
                <w:p w14:paraId="59993973" w14:textId="77777777" w:rsidR="00C91AAE" w:rsidRPr="00C91AAE" w:rsidRDefault="00C91AAE" w:rsidP="00C91AAE">
                  <w:pPr>
                    <w:rPr>
                      <w:rFonts w:cstheme="minorHAnsi"/>
                      <w:b/>
                      <w:bCs/>
                      <w:szCs w:val="24"/>
                    </w:rPr>
                  </w:pPr>
                  <w:r w:rsidRPr="00C91AAE">
                    <w:rPr>
                      <w:rFonts w:cstheme="minorHAnsi"/>
                      <w:b/>
                      <w:bCs/>
                      <w:szCs w:val="24"/>
                    </w:rPr>
                    <w:t>20.15%</w:t>
                  </w:r>
                </w:p>
              </w:tc>
            </w:tr>
            <w:tr w:rsidR="00C91AAE" w:rsidRPr="00C91AAE" w14:paraId="7A527927" w14:textId="77777777" w:rsidTr="003352D5">
              <w:trPr>
                <w:trHeight w:val="288"/>
              </w:trPr>
              <w:tc>
                <w:tcPr>
                  <w:tcW w:w="3086" w:type="dxa"/>
                  <w:shd w:val="clear" w:color="000000" w:fill="0066CC"/>
                  <w:hideMark/>
                </w:tcPr>
                <w:p w14:paraId="6C78D6B9" w14:textId="77777777" w:rsidR="00C91AAE" w:rsidRPr="00C91AAE" w:rsidRDefault="00C91AAE" w:rsidP="00C91AAE">
                  <w:pPr>
                    <w:rPr>
                      <w:rFonts w:cstheme="minorHAnsi"/>
                      <w:b/>
                      <w:bCs/>
                      <w:color w:val="FFFFFF" w:themeColor="background1"/>
                      <w:szCs w:val="24"/>
                    </w:rPr>
                  </w:pPr>
                  <w:hyperlink r:id="rId14" w:history="1">
                    <w:r w:rsidRPr="00C91AAE">
                      <w:rPr>
                        <w:rStyle w:val="Hyperlink"/>
                        <w:rFonts w:cstheme="minorHAnsi"/>
                        <w:b/>
                        <w:bCs/>
                        <w:color w:val="FFFFFF" w:themeColor="background1"/>
                        <w:szCs w:val="24"/>
                        <w:u w:val="none"/>
                      </w:rPr>
                      <w:t>Liverpool Heart and Chest Hospital NHS Foundation Trust</w:t>
                    </w:r>
                  </w:hyperlink>
                </w:p>
              </w:tc>
              <w:tc>
                <w:tcPr>
                  <w:tcW w:w="3402" w:type="dxa"/>
                  <w:shd w:val="clear" w:color="000000" w:fill="FFFFFF"/>
                </w:tcPr>
                <w:p w14:paraId="72D2602E" w14:textId="77777777" w:rsidR="00C91AAE" w:rsidRPr="00C91AAE" w:rsidRDefault="00C91AAE" w:rsidP="00C91AAE">
                  <w:pPr>
                    <w:rPr>
                      <w:rFonts w:cstheme="minorHAnsi"/>
                      <w:b/>
                      <w:bCs/>
                      <w:szCs w:val="24"/>
                    </w:rPr>
                  </w:pPr>
                  <w:r w:rsidRPr="00C91AAE">
                    <w:rPr>
                      <w:rFonts w:cstheme="minorHAnsi"/>
                      <w:b/>
                      <w:bCs/>
                      <w:szCs w:val="24"/>
                    </w:rPr>
                    <w:t>24.52%</w:t>
                  </w:r>
                </w:p>
              </w:tc>
              <w:tc>
                <w:tcPr>
                  <w:tcW w:w="2625" w:type="dxa"/>
                  <w:shd w:val="clear" w:color="000000" w:fill="FFFFFF"/>
                </w:tcPr>
                <w:p w14:paraId="0BC0B0FC" w14:textId="77777777" w:rsidR="00C91AAE" w:rsidRPr="00C91AAE" w:rsidRDefault="00C91AAE" w:rsidP="00C91AAE">
                  <w:pPr>
                    <w:rPr>
                      <w:rFonts w:cstheme="minorHAnsi"/>
                      <w:b/>
                      <w:bCs/>
                      <w:szCs w:val="24"/>
                    </w:rPr>
                  </w:pPr>
                  <w:r w:rsidRPr="00C91AAE">
                    <w:rPr>
                      <w:rFonts w:cstheme="minorHAnsi"/>
                      <w:b/>
                      <w:bCs/>
                      <w:szCs w:val="24"/>
                    </w:rPr>
                    <w:t>10.24%</w:t>
                  </w:r>
                </w:p>
              </w:tc>
            </w:tr>
            <w:tr w:rsidR="00C91AAE" w:rsidRPr="00C91AAE" w14:paraId="5CD96C0B" w14:textId="77777777" w:rsidTr="003352D5">
              <w:trPr>
                <w:trHeight w:val="288"/>
              </w:trPr>
              <w:tc>
                <w:tcPr>
                  <w:tcW w:w="3086" w:type="dxa"/>
                  <w:shd w:val="clear" w:color="000000" w:fill="0066CC"/>
                </w:tcPr>
                <w:p w14:paraId="48FEC38E" w14:textId="77777777" w:rsidR="00C91AAE" w:rsidRPr="00C91AAE" w:rsidRDefault="00C91AAE" w:rsidP="00C91AAE">
                  <w:pPr>
                    <w:rPr>
                      <w:rFonts w:cstheme="minorHAnsi"/>
                      <w:b/>
                      <w:bCs/>
                      <w:szCs w:val="24"/>
                    </w:rPr>
                  </w:pPr>
                  <w:r w:rsidRPr="0077014A">
                    <w:rPr>
                      <w:rFonts w:cstheme="minorHAnsi"/>
                      <w:b/>
                      <w:bCs/>
                      <w:color w:val="FFFFFF" w:themeColor="background1"/>
                      <w:szCs w:val="24"/>
                    </w:rPr>
                    <w:t>Moorfields Eye Hospital (MEH)</w:t>
                  </w:r>
                  <w:r w:rsidRPr="00C91AAE">
                    <w:rPr>
                      <w:rFonts w:cstheme="minorHAnsi"/>
                      <w:b/>
                      <w:bCs/>
                      <w:szCs w:val="24"/>
                    </w:rPr>
                    <w:tab/>
                  </w:r>
                </w:p>
              </w:tc>
              <w:tc>
                <w:tcPr>
                  <w:tcW w:w="3402" w:type="dxa"/>
                  <w:shd w:val="clear" w:color="000000" w:fill="FFFFFF"/>
                </w:tcPr>
                <w:p w14:paraId="70A0F81F" w14:textId="77777777" w:rsidR="00C91AAE" w:rsidRPr="00C91AAE" w:rsidRDefault="00C91AAE" w:rsidP="00C91AAE">
                  <w:pPr>
                    <w:rPr>
                      <w:rFonts w:cstheme="minorHAnsi"/>
                      <w:b/>
                      <w:bCs/>
                      <w:szCs w:val="24"/>
                    </w:rPr>
                  </w:pPr>
                  <w:r w:rsidRPr="00C91AAE">
                    <w:rPr>
                      <w:rFonts w:cstheme="minorHAnsi"/>
                      <w:b/>
                      <w:bCs/>
                      <w:szCs w:val="24"/>
                    </w:rPr>
                    <w:t>21.23%</w:t>
                  </w:r>
                </w:p>
              </w:tc>
              <w:tc>
                <w:tcPr>
                  <w:tcW w:w="2625" w:type="dxa"/>
                  <w:shd w:val="clear" w:color="000000" w:fill="FFFFFF"/>
                </w:tcPr>
                <w:p w14:paraId="6A5BBFC9" w14:textId="77777777" w:rsidR="00C91AAE" w:rsidRPr="00C91AAE" w:rsidRDefault="00C91AAE" w:rsidP="00C91AAE">
                  <w:pPr>
                    <w:rPr>
                      <w:rFonts w:cstheme="minorHAnsi"/>
                      <w:b/>
                      <w:bCs/>
                      <w:szCs w:val="24"/>
                    </w:rPr>
                  </w:pPr>
                  <w:r w:rsidRPr="00C91AAE">
                    <w:rPr>
                      <w:rFonts w:cstheme="minorHAnsi"/>
                      <w:b/>
                      <w:bCs/>
                      <w:szCs w:val="24"/>
                    </w:rPr>
                    <w:t>17.41%</w:t>
                  </w:r>
                </w:p>
              </w:tc>
            </w:tr>
            <w:tr w:rsidR="0077014A" w:rsidRPr="00C91AAE" w14:paraId="4EBF831B" w14:textId="77777777" w:rsidTr="003352D5">
              <w:trPr>
                <w:trHeight w:val="288"/>
              </w:trPr>
              <w:tc>
                <w:tcPr>
                  <w:tcW w:w="3086" w:type="dxa"/>
                  <w:shd w:val="clear" w:color="000000" w:fill="0066CC"/>
                </w:tcPr>
                <w:p w14:paraId="397625E3" w14:textId="2049EDA2" w:rsidR="0077014A" w:rsidRPr="0077014A" w:rsidRDefault="0077014A" w:rsidP="00C91AAE">
                  <w:pPr>
                    <w:rPr>
                      <w:rFonts w:cstheme="minorHAnsi"/>
                      <w:b/>
                      <w:bCs/>
                      <w:color w:val="FFFFFF" w:themeColor="background1"/>
                      <w:szCs w:val="24"/>
                    </w:rPr>
                  </w:pPr>
                  <w:r w:rsidRPr="0077014A">
                    <w:rPr>
                      <w:rFonts w:cstheme="minorHAnsi"/>
                      <w:b/>
                      <w:bCs/>
                      <w:color w:val="FFFFFF" w:themeColor="background1"/>
                      <w:szCs w:val="24"/>
                    </w:rPr>
                    <w:t>The Royal Mar</w:t>
                  </w:r>
                  <w:r>
                    <w:rPr>
                      <w:rFonts w:cstheme="minorHAnsi"/>
                      <w:b/>
                      <w:bCs/>
                      <w:color w:val="FFFFFF" w:themeColor="background1"/>
                      <w:szCs w:val="24"/>
                    </w:rPr>
                    <w:t xml:space="preserve">sden NHS Foundation Trust </w:t>
                  </w:r>
                </w:p>
              </w:tc>
              <w:tc>
                <w:tcPr>
                  <w:tcW w:w="3402" w:type="dxa"/>
                  <w:shd w:val="clear" w:color="000000" w:fill="FFFFFF"/>
                </w:tcPr>
                <w:p w14:paraId="04983C20" w14:textId="66482216" w:rsidR="0077014A" w:rsidRPr="00C91AAE" w:rsidRDefault="0077014A" w:rsidP="00C91AAE">
                  <w:pPr>
                    <w:rPr>
                      <w:rFonts w:cstheme="minorHAnsi"/>
                      <w:b/>
                      <w:bCs/>
                      <w:szCs w:val="24"/>
                    </w:rPr>
                  </w:pPr>
                  <w:r>
                    <w:rPr>
                      <w:rFonts w:cstheme="minorHAnsi"/>
                      <w:b/>
                      <w:bCs/>
                      <w:szCs w:val="24"/>
                    </w:rPr>
                    <w:t>11.29</w:t>
                  </w:r>
                  <w:r w:rsidRPr="00C91AAE">
                    <w:rPr>
                      <w:rFonts w:cstheme="minorHAnsi"/>
                      <w:b/>
                      <w:bCs/>
                      <w:szCs w:val="24"/>
                    </w:rPr>
                    <w:t>%</w:t>
                  </w:r>
                </w:p>
              </w:tc>
              <w:tc>
                <w:tcPr>
                  <w:tcW w:w="2625" w:type="dxa"/>
                  <w:shd w:val="clear" w:color="000000" w:fill="FFFFFF"/>
                </w:tcPr>
                <w:p w14:paraId="5F47561D" w14:textId="6B43EEDA" w:rsidR="0077014A" w:rsidRPr="00C91AAE" w:rsidRDefault="0077014A" w:rsidP="00C91AAE">
                  <w:pPr>
                    <w:rPr>
                      <w:rFonts w:cstheme="minorHAnsi"/>
                      <w:b/>
                      <w:bCs/>
                      <w:szCs w:val="24"/>
                    </w:rPr>
                  </w:pPr>
                  <w:r>
                    <w:rPr>
                      <w:rFonts w:cstheme="minorHAnsi"/>
                      <w:b/>
                      <w:bCs/>
                      <w:szCs w:val="24"/>
                    </w:rPr>
                    <w:t>4.15</w:t>
                  </w:r>
                  <w:r w:rsidRPr="00C91AAE">
                    <w:rPr>
                      <w:rFonts w:cstheme="minorHAnsi"/>
                      <w:b/>
                      <w:bCs/>
                      <w:szCs w:val="24"/>
                    </w:rPr>
                    <w:t>%</w:t>
                  </w:r>
                </w:p>
              </w:tc>
            </w:tr>
          </w:tbl>
          <w:p w14:paraId="1C12BCA9" w14:textId="77777777" w:rsidR="00C91AAE" w:rsidRPr="00C91AAE" w:rsidRDefault="00C91AAE" w:rsidP="00C91AAE">
            <w:pPr>
              <w:rPr>
                <w:rFonts w:cstheme="minorHAnsi"/>
                <w:b/>
                <w:bCs/>
                <w:szCs w:val="24"/>
                <w:lang w:val="en-US"/>
              </w:rPr>
            </w:pPr>
            <w:r w:rsidRPr="00C91AAE">
              <w:rPr>
                <w:rFonts w:cstheme="minorHAnsi"/>
                <w:b/>
                <w:bCs/>
                <w:szCs w:val="24"/>
                <w:lang w:val="en-US"/>
              </w:rPr>
              <w:t>Table 10: Benchmark Data</w:t>
            </w:r>
          </w:p>
          <w:p w14:paraId="254CD4E9" w14:textId="5FB68E31" w:rsidR="002B30B9" w:rsidRPr="002B30B9" w:rsidRDefault="002B30B9" w:rsidP="002B30B9">
            <w:pPr>
              <w:rPr>
                <w:rFonts w:cstheme="minorHAnsi"/>
                <w:szCs w:val="24"/>
              </w:rPr>
            </w:pPr>
            <w:r w:rsidRPr="002B30B9">
              <w:rPr>
                <w:rFonts w:cstheme="minorHAnsi"/>
                <w:szCs w:val="24"/>
              </w:rPr>
              <w:t>The benchmark data above shows that Moorfields Eye Hospital (MEH) reports a mean gender pay gap of 21.23% and a median gap of 17.41% for 2024. These figures are more favourable than several key comparators, including the Royal National Orthopaedic Hospital (mean 25.08%, median 20.15%), Royal Orthopaedic Hospital, and Liverpool Heart and Chest Hospital (mean 24.52%, median 10.24%). MEH's positioning suggests meaningful progress; however, the inclusion of The Royal Marsden NHS Foundation Trust</w:t>
            </w:r>
            <w:r>
              <w:rPr>
                <w:rFonts w:cstheme="minorHAnsi"/>
                <w:szCs w:val="24"/>
              </w:rPr>
              <w:t xml:space="preserve">, </w:t>
            </w:r>
            <w:r w:rsidRPr="002B30B9">
              <w:rPr>
                <w:rFonts w:cstheme="minorHAnsi"/>
                <w:szCs w:val="24"/>
              </w:rPr>
              <w:t>reporting a lower mean (11.29%) and median (4.15%) gender pay gap</w:t>
            </w:r>
            <w:r>
              <w:rPr>
                <w:rFonts w:cstheme="minorHAnsi"/>
                <w:szCs w:val="24"/>
              </w:rPr>
              <w:t xml:space="preserve">, </w:t>
            </w:r>
            <w:r w:rsidRPr="002B30B9">
              <w:rPr>
                <w:rFonts w:cstheme="minorHAnsi"/>
                <w:szCs w:val="24"/>
              </w:rPr>
              <w:t>highlights that there is still more to do to achieve equity across all roles and pay bands. We remain firmly committed to closing the gap and are actively reflecting on best practices across the sector. Through continuous learning and the embedding of sustainable, long-term solutions, we aim to address structural inequalities and ensure equitable outcomes for all staff.</w:t>
            </w:r>
          </w:p>
          <w:p w14:paraId="44E792B2" w14:textId="77777777" w:rsidR="00C91AAE" w:rsidRPr="00C91AAE" w:rsidRDefault="00C91AAE" w:rsidP="00C91AAE">
            <w:pPr>
              <w:rPr>
                <w:rFonts w:cstheme="minorHAnsi"/>
                <w:b/>
                <w:bCs/>
                <w:szCs w:val="24"/>
                <w:lang w:val="en-US"/>
              </w:rPr>
            </w:pPr>
          </w:p>
          <w:p w14:paraId="02F38904" w14:textId="77777777" w:rsidR="00C91AAE" w:rsidRPr="00C91AAE" w:rsidRDefault="00C91AAE" w:rsidP="00C91AAE">
            <w:pPr>
              <w:numPr>
                <w:ilvl w:val="0"/>
                <w:numId w:val="14"/>
              </w:numPr>
              <w:rPr>
                <w:rFonts w:cstheme="minorHAnsi"/>
                <w:b/>
                <w:bCs/>
                <w:szCs w:val="24"/>
                <w:lang w:val="en-US"/>
              </w:rPr>
            </w:pPr>
            <w:r w:rsidRPr="00C91AAE">
              <w:rPr>
                <w:rFonts w:cstheme="minorHAnsi"/>
                <w:b/>
                <w:bCs/>
                <w:szCs w:val="24"/>
                <w:lang w:val="en-US"/>
              </w:rPr>
              <w:t>Conclusion</w:t>
            </w:r>
          </w:p>
          <w:p w14:paraId="53DC0378" w14:textId="02FEF5F5" w:rsidR="00C91AAE" w:rsidRDefault="00C91AAE" w:rsidP="00C91AAE">
            <w:pPr>
              <w:numPr>
                <w:ilvl w:val="1"/>
                <w:numId w:val="14"/>
              </w:numPr>
              <w:rPr>
                <w:rFonts w:cstheme="minorHAnsi"/>
                <w:szCs w:val="24"/>
                <w:lang w:val="en-US"/>
              </w:rPr>
            </w:pPr>
            <w:r w:rsidRPr="00C91AAE">
              <w:rPr>
                <w:rFonts w:cstheme="minorHAnsi"/>
                <w:szCs w:val="24"/>
                <w:lang w:val="en-US"/>
              </w:rPr>
              <w:t xml:space="preserve">The actions below have </w:t>
            </w:r>
            <w:proofErr w:type="gramStart"/>
            <w:r w:rsidRPr="00C91AAE">
              <w:rPr>
                <w:rFonts w:cstheme="minorHAnsi"/>
                <w:szCs w:val="24"/>
                <w:lang w:val="en-US"/>
              </w:rPr>
              <w:t>been developed</w:t>
            </w:r>
            <w:proofErr w:type="gramEnd"/>
            <w:r w:rsidRPr="00C91AAE">
              <w:rPr>
                <w:rFonts w:cstheme="minorHAnsi"/>
                <w:szCs w:val="24"/>
                <w:lang w:val="en-US"/>
              </w:rPr>
              <w:t xml:space="preserve"> to assist specifically in closing the gap re</w:t>
            </w:r>
            <w:r w:rsidR="00AD45BE">
              <w:rPr>
                <w:rFonts w:cstheme="minorHAnsi"/>
                <w:szCs w:val="24"/>
                <w:lang w:val="en-US"/>
              </w:rPr>
              <w:t>garding</w:t>
            </w:r>
            <w:r w:rsidRPr="00C91AAE">
              <w:rPr>
                <w:rFonts w:cstheme="minorHAnsi"/>
                <w:szCs w:val="24"/>
                <w:lang w:val="en-US"/>
              </w:rPr>
              <w:t xml:space="preserve"> both gender and ethnicity. It should be noted that this is a process that cannot achieve immediate corrective impact but rather a gradual reduction in the disparity. There are historical issues regarding representation within medical staffing and length of service, which will only </w:t>
            </w:r>
            <w:proofErr w:type="gramStart"/>
            <w:r w:rsidRPr="00C91AAE">
              <w:rPr>
                <w:rFonts w:cstheme="minorHAnsi"/>
                <w:szCs w:val="24"/>
                <w:lang w:val="en-US"/>
              </w:rPr>
              <w:t>be corrected</w:t>
            </w:r>
            <w:proofErr w:type="gramEnd"/>
            <w:r w:rsidRPr="00C91AAE">
              <w:rPr>
                <w:rFonts w:cstheme="minorHAnsi"/>
                <w:szCs w:val="24"/>
                <w:lang w:val="en-US"/>
              </w:rPr>
              <w:t xml:space="preserve"> over time.</w:t>
            </w:r>
          </w:p>
          <w:p w14:paraId="6F5CDA4B" w14:textId="77777777" w:rsidR="00C91AAE" w:rsidRPr="00C91AAE" w:rsidRDefault="00C91AAE" w:rsidP="00C91AAE">
            <w:pPr>
              <w:ind w:left="474"/>
              <w:rPr>
                <w:rFonts w:cstheme="minorHAnsi"/>
                <w:szCs w:val="24"/>
                <w:lang w:val="en-US"/>
              </w:rPr>
            </w:pPr>
          </w:p>
          <w:p w14:paraId="0A5798DA" w14:textId="77777777" w:rsidR="00C91AAE" w:rsidRPr="00C91AAE" w:rsidRDefault="00C91AAE" w:rsidP="00C91AAE">
            <w:pPr>
              <w:numPr>
                <w:ilvl w:val="0"/>
                <w:numId w:val="14"/>
              </w:numPr>
              <w:rPr>
                <w:rFonts w:cstheme="minorHAnsi"/>
                <w:b/>
                <w:bCs/>
                <w:szCs w:val="24"/>
                <w:lang w:val="en-US"/>
              </w:rPr>
            </w:pPr>
            <w:bookmarkStart w:id="0" w:name="_Hlk144239039"/>
            <w:r w:rsidRPr="00C91AAE">
              <w:rPr>
                <w:rFonts w:cstheme="minorHAnsi"/>
                <w:b/>
                <w:bCs/>
                <w:szCs w:val="24"/>
                <w:lang w:val="en-US"/>
              </w:rPr>
              <w:t>Ongoing and Proposed Actions</w:t>
            </w:r>
          </w:p>
          <w:tbl>
            <w:tblPr>
              <w:tblW w:w="10140" w:type="dxa"/>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1"/>
              <w:gridCol w:w="5413"/>
              <w:gridCol w:w="1886"/>
            </w:tblGrid>
            <w:tr w:rsidR="00C91AAE" w:rsidRPr="00C91AAE" w14:paraId="4BC590F5" w14:textId="77777777" w:rsidTr="003352D5">
              <w:trPr>
                <w:trHeight w:val="318"/>
              </w:trPr>
              <w:tc>
                <w:tcPr>
                  <w:tcW w:w="2841" w:type="dxa"/>
                  <w:shd w:val="clear" w:color="auto" w:fill="8EA9DB"/>
                </w:tcPr>
                <w:p w14:paraId="5D8F8669" w14:textId="77777777" w:rsidR="00C91AAE" w:rsidRPr="00C91AAE" w:rsidRDefault="00C91AAE" w:rsidP="00C91AAE">
                  <w:pPr>
                    <w:rPr>
                      <w:rFonts w:cstheme="minorHAnsi"/>
                      <w:b/>
                      <w:bCs/>
                      <w:szCs w:val="24"/>
                      <w:lang w:val="en-US"/>
                    </w:rPr>
                  </w:pPr>
                  <w:r w:rsidRPr="00C91AAE">
                    <w:rPr>
                      <w:rFonts w:cstheme="minorHAnsi"/>
                      <w:b/>
                      <w:bCs/>
                      <w:szCs w:val="24"/>
                      <w:lang w:val="en-US"/>
                    </w:rPr>
                    <w:t>Action (2023)</w:t>
                  </w:r>
                </w:p>
              </w:tc>
              <w:tc>
                <w:tcPr>
                  <w:tcW w:w="5413" w:type="dxa"/>
                  <w:shd w:val="clear" w:color="auto" w:fill="8EA9DB"/>
                </w:tcPr>
                <w:p w14:paraId="66245238" w14:textId="77777777" w:rsidR="00C91AAE" w:rsidRPr="00C91AAE" w:rsidRDefault="00C91AAE" w:rsidP="00C91AAE">
                  <w:pPr>
                    <w:rPr>
                      <w:rFonts w:cstheme="minorHAnsi"/>
                      <w:b/>
                      <w:bCs/>
                      <w:szCs w:val="24"/>
                      <w:lang w:val="en-US"/>
                    </w:rPr>
                  </w:pPr>
                  <w:r w:rsidRPr="00C91AAE">
                    <w:rPr>
                      <w:rFonts w:cstheme="minorHAnsi"/>
                      <w:b/>
                      <w:bCs/>
                      <w:szCs w:val="24"/>
                      <w:lang w:val="en-US"/>
                    </w:rPr>
                    <w:t>Actions and Reflections (2024)</w:t>
                  </w:r>
                </w:p>
              </w:tc>
              <w:tc>
                <w:tcPr>
                  <w:tcW w:w="1886" w:type="dxa"/>
                  <w:shd w:val="clear" w:color="auto" w:fill="8EA9DB"/>
                </w:tcPr>
                <w:p w14:paraId="1A7313A6" w14:textId="77777777" w:rsidR="00C91AAE" w:rsidRPr="00C91AAE" w:rsidRDefault="00C91AAE" w:rsidP="00C91AAE">
                  <w:pPr>
                    <w:rPr>
                      <w:rFonts w:cstheme="minorHAnsi"/>
                      <w:b/>
                      <w:bCs/>
                      <w:szCs w:val="24"/>
                      <w:lang w:val="en-US"/>
                    </w:rPr>
                  </w:pPr>
                  <w:r w:rsidRPr="00C91AAE">
                    <w:rPr>
                      <w:rFonts w:cstheme="minorHAnsi"/>
                      <w:b/>
                      <w:bCs/>
                      <w:szCs w:val="24"/>
                      <w:lang w:val="en-US"/>
                    </w:rPr>
                    <w:t>Lead</w:t>
                  </w:r>
                </w:p>
              </w:tc>
            </w:tr>
            <w:tr w:rsidR="00C91AAE" w:rsidRPr="00C91AAE" w14:paraId="031103B4" w14:textId="77777777" w:rsidTr="003352D5">
              <w:trPr>
                <w:trHeight w:val="1273"/>
              </w:trPr>
              <w:tc>
                <w:tcPr>
                  <w:tcW w:w="2841" w:type="dxa"/>
                </w:tcPr>
                <w:p w14:paraId="7556F60B" w14:textId="77777777" w:rsidR="00C91AAE" w:rsidRPr="00C91AAE" w:rsidRDefault="00C91AAE" w:rsidP="00C91AAE">
                  <w:pPr>
                    <w:rPr>
                      <w:rFonts w:cstheme="minorHAnsi"/>
                      <w:szCs w:val="24"/>
                      <w:lang w:val="en-US"/>
                    </w:rPr>
                  </w:pPr>
                  <w:r w:rsidRPr="00C91AAE">
                    <w:rPr>
                      <w:rFonts w:cstheme="minorHAnsi"/>
                      <w:szCs w:val="24"/>
                      <w:lang w:val="en-US"/>
                    </w:rPr>
                    <w:t xml:space="preserve">Introduce a Women’s Staff Network Group to ensure challenges around succession and equality </w:t>
                  </w:r>
                  <w:proofErr w:type="gramStart"/>
                  <w:r w:rsidRPr="00C91AAE">
                    <w:rPr>
                      <w:rFonts w:cstheme="minorHAnsi"/>
                      <w:szCs w:val="24"/>
                      <w:lang w:val="en-US"/>
                    </w:rPr>
                    <w:t>are given</w:t>
                  </w:r>
                  <w:proofErr w:type="gramEnd"/>
                  <w:r w:rsidRPr="00C91AAE">
                    <w:rPr>
                      <w:rFonts w:cstheme="minorHAnsi"/>
                      <w:szCs w:val="24"/>
                      <w:lang w:val="en-US"/>
                    </w:rPr>
                    <w:t xml:space="preserve"> a suitable platform.</w:t>
                  </w:r>
                </w:p>
              </w:tc>
              <w:tc>
                <w:tcPr>
                  <w:tcW w:w="5413" w:type="dxa"/>
                </w:tcPr>
                <w:p w14:paraId="242A0B8B" w14:textId="77777777" w:rsidR="00C91AAE" w:rsidRPr="00C91AAE" w:rsidRDefault="00C91AAE" w:rsidP="00C91AAE">
                  <w:pPr>
                    <w:rPr>
                      <w:rFonts w:cstheme="minorHAnsi"/>
                      <w:szCs w:val="24"/>
                    </w:rPr>
                  </w:pPr>
                  <w:r w:rsidRPr="00C91AAE">
                    <w:rPr>
                      <w:rFonts w:cstheme="minorHAnsi"/>
                      <w:szCs w:val="24"/>
                    </w:rPr>
                    <w:t xml:space="preserve">We launched our Women’s Network, </w:t>
                  </w:r>
                  <w:r w:rsidRPr="00C91AAE">
                    <w:rPr>
                      <w:rFonts w:cstheme="minorHAnsi"/>
                      <w:i/>
                      <w:iCs/>
                      <w:szCs w:val="24"/>
                    </w:rPr>
                    <w:t>Aurora</w:t>
                  </w:r>
                  <w:r w:rsidRPr="00C91AAE">
                    <w:rPr>
                      <w:rFonts w:cstheme="minorHAnsi"/>
                      <w:szCs w:val="24"/>
                    </w:rPr>
                    <w:t>, in late 2024. The network holds monthly staff meetings and is also represented on the Equality, Diversity, and Inclusion (EDI) Steering Group, which meets monthly.</w:t>
                  </w:r>
                </w:p>
                <w:p w14:paraId="7C099D99" w14:textId="77777777" w:rsidR="00C91AAE" w:rsidRPr="00C91AAE" w:rsidRDefault="00C91AAE" w:rsidP="00C91AAE">
                  <w:pPr>
                    <w:rPr>
                      <w:rFonts w:cstheme="minorHAnsi"/>
                      <w:szCs w:val="24"/>
                    </w:rPr>
                  </w:pPr>
                  <w:r w:rsidRPr="00C91AAE">
                    <w:rPr>
                      <w:rFonts w:cstheme="minorHAnsi"/>
                      <w:szCs w:val="24"/>
                    </w:rPr>
                    <w:t xml:space="preserve">As </w:t>
                  </w:r>
                  <w:r w:rsidRPr="00C91AAE">
                    <w:rPr>
                      <w:rFonts w:cstheme="minorHAnsi"/>
                      <w:i/>
                      <w:iCs/>
                      <w:szCs w:val="24"/>
                    </w:rPr>
                    <w:t>Aurora</w:t>
                  </w:r>
                  <w:r w:rsidRPr="00C91AAE">
                    <w:rPr>
                      <w:rFonts w:cstheme="minorHAnsi"/>
                      <w:szCs w:val="24"/>
                    </w:rPr>
                    <w:t xml:space="preserve"> is still in its early stages, we are keen to work closely with the co-chairs and members to co-develop </w:t>
                  </w:r>
                  <w:r w:rsidRPr="00C91AAE">
                    <w:rPr>
                      <w:rFonts w:cstheme="minorHAnsi"/>
                      <w:szCs w:val="24"/>
                    </w:rPr>
                    <w:lastRenderedPageBreak/>
                    <w:t>meaningful interventions that contribute to building equitable policies and practices across the organisation.</w:t>
                  </w:r>
                </w:p>
                <w:p w14:paraId="17EFE913" w14:textId="77777777" w:rsidR="00C91AAE" w:rsidRPr="00C91AAE" w:rsidRDefault="00C91AAE" w:rsidP="00C91AAE">
                  <w:pPr>
                    <w:rPr>
                      <w:rFonts w:cstheme="minorHAnsi"/>
                      <w:szCs w:val="24"/>
                      <w:lang w:val="en-US"/>
                    </w:rPr>
                  </w:pPr>
                </w:p>
              </w:tc>
              <w:tc>
                <w:tcPr>
                  <w:tcW w:w="1886" w:type="dxa"/>
                </w:tcPr>
                <w:p w14:paraId="69CD465B" w14:textId="77777777" w:rsidR="00C91AAE" w:rsidRPr="00C91AAE" w:rsidRDefault="00C91AAE" w:rsidP="00C91AAE">
                  <w:pPr>
                    <w:rPr>
                      <w:rFonts w:cstheme="minorHAnsi"/>
                      <w:szCs w:val="24"/>
                      <w:lang w:val="en-US"/>
                    </w:rPr>
                  </w:pPr>
                  <w:r w:rsidRPr="00C91AAE">
                    <w:rPr>
                      <w:rFonts w:cstheme="minorHAnsi"/>
                      <w:szCs w:val="24"/>
                      <w:lang w:val="en-US"/>
                    </w:rPr>
                    <w:lastRenderedPageBreak/>
                    <w:t>EDI Manager</w:t>
                  </w:r>
                </w:p>
              </w:tc>
            </w:tr>
            <w:tr w:rsidR="00C91AAE" w:rsidRPr="00C91AAE" w14:paraId="64CF8DE7" w14:textId="77777777" w:rsidTr="003352D5">
              <w:trPr>
                <w:trHeight w:val="1277"/>
              </w:trPr>
              <w:tc>
                <w:tcPr>
                  <w:tcW w:w="2841" w:type="dxa"/>
                </w:tcPr>
                <w:p w14:paraId="3EC7C06C" w14:textId="12573E61" w:rsidR="00C91AAE" w:rsidRPr="00C91AAE" w:rsidRDefault="00C91AAE" w:rsidP="00C91AAE">
                  <w:pPr>
                    <w:rPr>
                      <w:rFonts w:cstheme="minorHAnsi"/>
                      <w:szCs w:val="24"/>
                      <w:lang w:val="en-US"/>
                    </w:rPr>
                  </w:pPr>
                  <w:r w:rsidRPr="00C91AAE">
                    <w:rPr>
                      <w:rFonts w:cstheme="minorHAnsi"/>
                      <w:szCs w:val="24"/>
                      <w:lang w:val="en-US"/>
                    </w:rPr>
                    <w:t xml:space="preserve">Implement the recommendations within the Model Employer WRES Leadership framework and the </w:t>
                  </w:r>
                  <w:r w:rsidR="00AD45BE">
                    <w:rPr>
                      <w:rFonts w:cstheme="minorHAnsi"/>
                      <w:szCs w:val="24"/>
                      <w:lang w:val="en-US"/>
                    </w:rPr>
                    <w:t>“No More Tick Box Framework</w:t>
                  </w:r>
                  <w:proofErr w:type="gramStart"/>
                  <w:r w:rsidR="00AD45BE">
                    <w:rPr>
                      <w:rFonts w:cstheme="minorHAnsi"/>
                      <w:szCs w:val="24"/>
                      <w:lang w:val="en-US"/>
                    </w:rPr>
                    <w:t>”</w:t>
                  </w:r>
                  <w:r w:rsidRPr="00C91AAE">
                    <w:rPr>
                      <w:rFonts w:cstheme="minorHAnsi"/>
                      <w:szCs w:val="24"/>
                      <w:lang w:val="en-US"/>
                    </w:rPr>
                    <w:t>.</w:t>
                  </w:r>
                  <w:proofErr w:type="gramEnd"/>
                </w:p>
              </w:tc>
              <w:tc>
                <w:tcPr>
                  <w:tcW w:w="5413" w:type="dxa"/>
                </w:tcPr>
                <w:p w14:paraId="102DB346" w14:textId="07AEC055" w:rsidR="00C91AAE" w:rsidRPr="00C91AAE" w:rsidRDefault="00C91AAE" w:rsidP="00C91AAE">
                  <w:pPr>
                    <w:rPr>
                      <w:rFonts w:cstheme="minorHAnsi"/>
                      <w:szCs w:val="24"/>
                      <w:lang w:val="en-US"/>
                    </w:rPr>
                  </w:pPr>
                  <w:r w:rsidRPr="00C91AAE">
                    <w:rPr>
                      <w:rFonts w:cstheme="minorHAnsi"/>
                      <w:szCs w:val="24"/>
                      <w:lang w:val="en-US"/>
                    </w:rPr>
                    <w:t>As part of our ongoing EDI programme, we are currently auditing recruitment and selection practices and process in the trust based on the nationally recognised No More Tick Boxes framework and the Model Employer WRES Leadership framework to identify gaps and put in place interventions</w:t>
                  </w:r>
                  <w:r w:rsidR="00AD45BE">
                    <w:rPr>
                      <w:rFonts w:cstheme="minorHAnsi"/>
                      <w:szCs w:val="24"/>
                      <w:lang w:val="en-US"/>
                    </w:rPr>
                    <w:t xml:space="preserve">, including short and medium term targets, </w:t>
                  </w:r>
                  <w:r w:rsidRPr="00C91AAE">
                    <w:rPr>
                      <w:rFonts w:cstheme="minorHAnsi"/>
                      <w:szCs w:val="24"/>
                      <w:lang w:val="en-US"/>
                    </w:rPr>
                    <w:t xml:space="preserve">to address bias and inequity in our recruitment and selection process. </w:t>
                  </w:r>
                </w:p>
              </w:tc>
              <w:tc>
                <w:tcPr>
                  <w:tcW w:w="1886" w:type="dxa"/>
                </w:tcPr>
                <w:p w14:paraId="44434C36" w14:textId="77777777" w:rsidR="00C91AAE" w:rsidRPr="00C91AAE" w:rsidRDefault="00C91AAE" w:rsidP="00C91AAE">
                  <w:pPr>
                    <w:rPr>
                      <w:rFonts w:cstheme="minorHAnsi"/>
                      <w:szCs w:val="24"/>
                      <w:lang w:val="en-US"/>
                    </w:rPr>
                  </w:pPr>
                  <w:r w:rsidRPr="00C91AAE">
                    <w:rPr>
                      <w:rFonts w:cstheme="minorHAnsi"/>
                      <w:szCs w:val="24"/>
                      <w:lang w:val="en-US"/>
                    </w:rPr>
                    <w:t>EDI Manager</w:t>
                  </w:r>
                </w:p>
              </w:tc>
            </w:tr>
            <w:tr w:rsidR="00C91AAE" w:rsidRPr="00C91AAE" w14:paraId="2A4F67C3" w14:textId="77777777" w:rsidTr="003352D5">
              <w:trPr>
                <w:trHeight w:val="1277"/>
              </w:trPr>
              <w:tc>
                <w:tcPr>
                  <w:tcW w:w="2841" w:type="dxa"/>
                </w:tcPr>
                <w:p w14:paraId="0983D267" w14:textId="556863C5" w:rsidR="00C91AAE" w:rsidRPr="00C91AAE" w:rsidRDefault="00C91AAE" w:rsidP="00C91AAE">
                  <w:pPr>
                    <w:rPr>
                      <w:rFonts w:cstheme="minorHAnsi"/>
                      <w:szCs w:val="24"/>
                      <w:lang w:val="en-US"/>
                    </w:rPr>
                  </w:pPr>
                  <w:r w:rsidRPr="00C91AAE">
                    <w:rPr>
                      <w:rFonts w:cstheme="minorHAnsi"/>
                      <w:szCs w:val="24"/>
                      <w:lang w:val="en-US"/>
                    </w:rPr>
                    <w:t xml:space="preserve">Following the successful pilot of the first Career Sponsorship programme in 2023 the trust will look to roll out further cohorts with the aspiration of enhancing the promotional opportunities for BME </w:t>
                  </w:r>
                  <w:r w:rsidR="00D444C5">
                    <w:rPr>
                      <w:rFonts w:cstheme="minorHAnsi"/>
                      <w:szCs w:val="24"/>
                      <w:lang w:val="en-US"/>
                    </w:rPr>
                    <w:t>and fema</w:t>
                  </w:r>
                  <w:r w:rsidR="00CE41A9">
                    <w:rPr>
                      <w:rFonts w:cstheme="minorHAnsi"/>
                      <w:szCs w:val="24"/>
                      <w:lang w:val="en-US"/>
                    </w:rPr>
                    <w:t xml:space="preserve">le </w:t>
                  </w:r>
                  <w:r w:rsidRPr="00C91AAE">
                    <w:rPr>
                      <w:rFonts w:cstheme="minorHAnsi"/>
                      <w:szCs w:val="24"/>
                      <w:lang w:val="en-US"/>
                    </w:rPr>
                    <w:t>colleagues.</w:t>
                  </w:r>
                </w:p>
              </w:tc>
              <w:tc>
                <w:tcPr>
                  <w:tcW w:w="5413" w:type="dxa"/>
                </w:tcPr>
                <w:p w14:paraId="212B7A15" w14:textId="77777777" w:rsidR="00C91AAE" w:rsidRPr="00C91AAE" w:rsidRDefault="00C91AAE" w:rsidP="00C91AAE">
                  <w:pPr>
                    <w:rPr>
                      <w:rFonts w:cstheme="minorHAnsi"/>
                      <w:szCs w:val="24"/>
                    </w:rPr>
                  </w:pPr>
                  <w:r w:rsidRPr="00C91AAE">
                    <w:rPr>
                      <w:rFonts w:cstheme="minorHAnsi"/>
                      <w:szCs w:val="24"/>
                    </w:rPr>
                    <w:t xml:space="preserve">Following the successful completion of the pilot </w:t>
                  </w:r>
                  <w:r w:rsidRPr="00C91AAE">
                    <w:rPr>
                      <w:rFonts w:cstheme="minorHAnsi"/>
                      <w:i/>
                      <w:iCs/>
                      <w:szCs w:val="24"/>
                    </w:rPr>
                    <w:t>Career Sponsorship Programme</w:t>
                  </w:r>
                  <w:r w:rsidRPr="00C91AAE">
                    <w:rPr>
                      <w:rFonts w:cstheme="minorHAnsi"/>
                      <w:szCs w:val="24"/>
                    </w:rPr>
                    <w:t>, we are excited to launch the second cohort with a fully refreshed and enhanced design. Based on valuable feedback from the first cohort, we have revamped the entire programme to offer more holistic support and deeper engagement throughout the journey.</w:t>
                  </w:r>
                </w:p>
                <w:p w14:paraId="1BF7481B" w14:textId="4EA1EEE5" w:rsidR="00C91AAE" w:rsidRPr="00C91AAE" w:rsidRDefault="00C91AAE" w:rsidP="00C91AAE">
                  <w:pPr>
                    <w:rPr>
                      <w:rFonts w:cstheme="minorHAnsi"/>
                      <w:szCs w:val="24"/>
                    </w:rPr>
                  </w:pPr>
                  <w:r w:rsidRPr="00C91AAE">
                    <w:rPr>
                      <w:rFonts w:cstheme="minorHAnsi"/>
                      <w:szCs w:val="24"/>
                    </w:rPr>
                    <w:t>The updated programme now includes modules on project management, career development, Neuro-Linguistic Programming (NLP), leadership sessions, and 360-degree leadership assessments. We’ve already received excellent feedback from prospective participants—particularly women—who have shown strong interest in the new offering.</w:t>
                  </w:r>
                </w:p>
              </w:tc>
              <w:tc>
                <w:tcPr>
                  <w:tcW w:w="1886" w:type="dxa"/>
                </w:tcPr>
                <w:p w14:paraId="7895EA6E" w14:textId="77777777" w:rsidR="00C91AAE" w:rsidRPr="00C91AAE" w:rsidRDefault="00C91AAE" w:rsidP="00C91AAE">
                  <w:pPr>
                    <w:rPr>
                      <w:rFonts w:cstheme="minorHAnsi"/>
                      <w:szCs w:val="24"/>
                      <w:lang w:val="en-US"/>
                    </w:rPr>
                  </w:pPr>
                  <w:r w:rsidRPr="00C91AAE">
                    <w:rPr>
                      <w:rFonts w:cstheme="minorHAnsi"/>
                      <w:szCs w:val="24"/>
                      <w:lang w:val="en-US"/>
                    </w:rPr>
                    <w:t>EDI Manager</w:t>
                  </w:r>
                </w:p>
              </w:tc>
            </w:tr>
            <w:tr w:rsidR="00C24896" w:rsidRPr="00C91AAE" w14:paraId="4F69A464" w14:textId="77777777" w:rsidTr="003352D5">
              <w:trPr>
                <w:trHeight w:val="1277"/>
              </w:trPr>
              <w:tc>
                <w:tcPr>
                  <w:tcW w:w="284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1"/>
                  </w:tblGrid>
                  <w:tr w:rsidR="00C24896" w:rsidRPr="00C24896" w14:paraId="3012BBB5" w14:textId="77777777" w:rsidTr="00C24896">
                    <w:trPr>
                      <w:tblCellSpacing w:w="15" w:type="dxa"/>
                    </w:trPr>
                    <w:tc>
                      <w:tcPr>
                        <w:tcW w:w="0" w:type="auto"/>
                        <w:vAlign w:val="center"/>
                        <w:hideMark/>
                      </w:tcPr>
                      <w:p w14:paraId="53B70A4B" w14:textId="77777777" w:rsidR="00C24896" w:rsidRPr="00C24896" w:rsidRDefault="00C24896" w:rsidP="00C24896">
                        <w:pPr>
                          <w:rPr>
                            <w:rFonts w:cstheme="minorHAnsi"/>
                            <w:szCs w:val="24"/>
                          </w:rPr>
                        </w:pPr>
                        <w:r w:rsidRPr="00C24896">
                          <w:rPr>
                            <w:rFonts w:cstheme="minorHAnsi"/>
                            <w:szCs w:val="24"/>
                          </w:rPr>
                          <w:t>Identify structural drivers of the gender pay gap within medical staffing, with a focus on consultant-level underrepresentation.</w:t>
                        </w:r>
                      </w:p>
                    </w:tc>
                  </w:tr>
                </w:tbl>
                <w:p w14:paraId="59B7EE23" w14:textId="77777777" w:rsidR="00C24896" w:rsidRPr="00C24896" w:rsidRDefault="00C24896" w:rsidP="00C24896">
                  <w:pPr>
                    <w:rPr>
                      <w:rFonts w:cstheme="minorHAnsi"/>
                      <w:vanish/>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24896" w:rsidRPr="00C24896" w14:paraId="6FB50020" w14:textId="77777777" w:rsidTr="00C24896">
                    <w:trPr>
                      <w:tblCellSpacing w:w="15" w:type="dxa"/>
                    </w:trPr>
                    <w:tc>
                      <w:tcPr>
                        <w:tcW w:w="0" w:type="auto"/>
                        <w:vAlign w:val="center"/>
                        <w:hideMark/>
                      </w:tcPr>
                      <w:p w14:paraId="00379753" w14:textId="77777777" w:rsidR="00C24896" w:rsidRPr="00C24896" w:rsidRDefault="00C24896" w:rsidP="00C24896">
                        <w:pPr>
                          <w:rPr>
                            <w:rFonts w:cstheme="minorHAnsi"/>
                            <w:szCs w:val="24"/>
                          </w:rPr>
                        </w:pPr>
                      </w:p>
                    </w:tc>
                  </w:tr>
                </w:tbl>
                <w:p w14:paraId="14C16238" w14:textId="77777777" w:rsidR="00C24896" w:rsidRPr="00C91AAE" w:rsidRDefault="00C24896" w:rsidP="00C91AAE">
                  <w:pPr>
                    <w:rPr>
                      <w:rFonts w:cstheme="minorHAnsi"/>
                      <w:szCs w:val="24"/>
                      <w:lang w:val="en-US"/>
                    </w:rPr>
                  </w:pPr>
                </w:p>
              </w:tc>
              <w:tc>
                <w:tcPr>
                  <w:tcW w:w="541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03"/>
                  </w:tblGrid>
                  <w:tr w:rsidR="00C24896" w:rsidRPr="00C24896" w14:paraId="374F5448" w14:textId="77777777" w:rsidTr="00C24896">
                    <w:trPr>
                      <w:tblCellSpacing w:w="15" w:type="dxa"/>
                    </w:trPr>
                    <w:tc>
                      <w:tcPr>
                        <w:tcW w:w="0" w:type="auto"/>
                        <w:vAlign w:val="center"/>
                        <w:hideMark/>
                      </w:tcPr>
                      <w:p w14:paraId="17F54471" w14:textId="52AAD917" w:rsidR="00C24896" w:rsidRPr="00C24896" w:rsidRDefault="00C24896" w:rsidP="00C24896">
                        <w:pPr>
                          <w:tabs>
                            <w:tab w:val="left" w:pos="1228"/>
                          </w:tabs>
                          <w:rPr>
                            <w:rFonts w:cstheme="minorHAnsi"/>
                            <w:szCs w:val="24"/>
                          </w:rPr>
                        </w:pPr>
                        <w:r w:rsidRPr="00C24896">
                          <w:rPr>
                            <w:rFonts w:cstheme="minorHAnsi"/>
                            <w:szCs w:val="24"/>
                          </w:rPr>
                          <w:t xml:space="preserve">We recognise that the consultant workforce remains the biggest driver of our gender pay gap, with women currently representing only 40% of this group. As a priority for 2024/25, we </w:t>
                        </w:r>
                        <w:r w:rsidR="00CE41A9">
                          <w:rPr>
                            <w:rFonts w:cstheme="minorHAnsi"/>
                            <w:szCs w:val="24"/>
                          </w:rPr>
                          <w:t xml:space="preserve">will be working with our medical workforce department </w:t>
                        </w:r>
                        <w:r w:rsidRPr="00C24896">
                          <w:rPr>
                            <w:rFonts w:cstheme="minorHAnsi"/>
                            <w:szCs w:val="24"/>
                          </w:rPr>
                          <w:t xml:space="preserve">to review pathways into consultant roles and understand the barriers women may face. This work will include a deep dive into data, exploration of career progression routes, and the co-design of an inclusive pipeline to support more women into senior medical positions. </w:t>
                        </w:r>
                        <w:r w:rsidR="00D25F4E" w:rsidRPr="00D25F4E">
                          <w:rPr>
                            <w:rFonts w:cstheme="minorHAnsi"/>
                            <w:szCs w:val="24"/>
                          </w:rPr>
                          <w:t xml:space="preserve">Areas for </w:t>
                        </w:r>
                        <w:r w:rsidR="00CE41A9">
                          <w:rPr>
                            <w:rFonts w:cstheme="minorHAnsi"/>
                            <w:szCs w:val="24"/>
                          </w:rPr>
                          <w:t xml:space="preserve">investigation </w:t>
                        </w:r>
                        <w:r w:rsidR="00D25F4E" w:rsidRPr="00D25F4E">
                          <w:rPr>
                            <w:rFonts w:cstheme="minorHAnsi"/>
                            <w:szCs w:val="24"/>
                          </w:rPr>
                          <w:t xml:space="preserve">may include identifying high-potential female talent, exploring options for tailored development support, and reviewing inclusive approaches to recruitment and progression. These discussions </w:t>
                        </w:r>
                        <w:r w:rsidR="00774D18">
                          <w:rPr>
                            <w:rFonts w:cstheme="minorHAnsi"/>
                            <w:szCs w:val="24"/>
                          </w:rPr>
                          <w:t>will</w:t>
                        </w:r>
                        <w:r w:rsidR="00D25F4E" w:rsidRPr="00D25F4E">
                          <w:rPr>
                            <w:rFonts w:cstheme="minorHAnsi"/>
                            <w:szCs w:val="24"/>
                          </w:rPr>
                          <w:t xml:space="preserve"> help inform the </w:t>
                        </w:r>
                        <w:r w:rsidR="00774D18">
                          <w:rPr>
                            <w:rFonts w:cstheme="minorHAnsi"/>
                            <w:szCs w:val="24"/>
                          </w:rPr>
                          <w:t xml:space="preserve">ongoing </w:t>
                        </w:r>
                        <w:r w:rsidR="00D25F4E" w:rsidRPr="00D25F4E">
                          <w:rPr>
                            <w:rFonts w:cstheme="minorHAnsi"/>
                            <w:szCs w:val="24"/>
                          </w:rPr>
                          <w:t xml:space="preserve">development </w:t>
                        </w:r>
                        <w:r w:rsidR="00774D18">
                          <w:rPr>
                            <w:rFonts w:cstheme="minorHAnsi"/>
                            <w:szCs w:val="24"/>
                          </w:rPr>
                          <w:t xml:space="preserve">and delivery </w:t>
                        </w:r>
                        <w:r w:rsidR="00D25F4E" w:rsidRPr="00D25F4E">
                          <w:rPr>
                            <w:rFonts w:cstheme="minorHAnsi"/>
                            <w:szCs w:val="24"/>
                          </w:rPr>
                          <w:t>of the Gender Pay Gap action plan and will form part of our ongoing engagement with the Aurora Women’s Network, Medical Workforce team, and the EDI Steering Group.</w:t>
                        </w:r>
                      </w:p>
                    </w:tc>
                  </w:tr>
                </w:tbl>
                <w:p w14:paraId="79610E97" w14:textId="77777777" w:rsidR="00C24896" w:rsidRPr="00C24896" w:rsidRDefault="00C24896" w:rsidP="00C24896">
                  <w:pPr>
                    <w:tabs>
                      <w:tab w:val="left" w:pos="1228"/>
                    </w:tabs>
                    <w:rPr>
                      <w:rFonts w:cstheme="minorHAnsi"/>
                      <w:vanish/>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24896" w:rsidRPr="00C24896" w14:paraId="28A6FE3B" w14:textId="77777777" w:rsidTr="00C24896">
                    <w:trPr>
                      <w:tblCellSpacing w:w="15" w:type="dxa"/>
                    </w:trPr>
                    <w:tc>
                      <w:tcPr>
                        <w:tcW w:w="0" w:type="auto"/>
                        <w:vAlign w:val="center"/>
                        <w:hideMark/>
                      </w:tcPr>
                      <w:p w14:paraId="1B79BF27" w14:textId="77777777" w:rsidR="00C24896" w:rsidRPr="00C24896" w:rsidRDefault="00C24896" w:rsidP="00C24896">
                        <w:pPr>
                          <w:tabs>
                            <w:tab w:val="left" w:pos="1228"/>
                          </w:tabs>
                          <w:rPr>
                            <w:rFonts w:cstheme="minorHAnsi"/>
                            <w:szCs w:val="24"/>
                          </w:rPr>
                        </w:pPr>
                      </w:p>
                    </w:tc>
                  </w:tr>
                </w:tbl>
                <w:p w14:paraId="59E1C7FF" w14:textId="67EB95CB" w:rsidR="00C24896" w:rsidRPr="00C91AAE" w:rsidRDefault="00C24896" w:rsidP="00C24896">
                  <w:pPr>
                    <w:tabs>
                      <w:tab w:val="left" w:pos="1228"/>
                    </w:tabs>
                    <w:rPr>
                      <w:rFonts w:cstheme="minorHAnsi"/>
                      <w:szCs w:val="24"/>
                    </w:rPr>
                  </w:pPr>
                </w:p>
              </w:tc>
              <w:tc>
                <w:tcPr>
                  <w:tcW w:w="1886" w:type="dxa"/>
                </w:tcPr>
                <w:p w14:paraId="5EC0680B" w14:textId="77777777" w:rsidR="00C24896" w:rsidRDefault="00C24896" w:rsidP="00C91AAE">
                  <w:pPr>
                    <w:rPr>
                      <w:rFonts w:cstheme="minorHAnsi"/>
                      <w:szCs w:val="24"/>
                    </w:rPr>
                  </w:pPr>
                  <w:r w:rsidRPr="00C24896">
                    <w:rPr>
                      <w:rFonts w:cstheme="minorHAnsi"/>
                      <w:szCs w:val="24"/>
                    </w:rPr>
                    <w:t xml:space="preserve">Medical </w:t>
                  </w:r>
                </w:p>
                <w:p w14:paraId="302DB4D7" w14:textId="0661532C" w:rsidR="00C24896" w:rsidRDefault="00C24896" w:rsidP="00C91AAE">
                  <w:pPr>
                    <w:rPr>
                      <w:rFonts w:cstheme="minorHAnsi"/>
                      <w:szCs w:val="24"/>
                    </w:rPr>
                  </w:pPr>
                  <w:r w:rsidRPr="00C24896">
                    <w:rPr>
                      <w:rFonts w:cstheme="minorHAnsi"/>
                      <w:szCs w:val="24"/>
                    </w:rPr>
                    <w:t>Director /</w:t>
                  </w:r>
                </w:p>
                <w:p w14:paraId="45C270AE" w14:textId="647F6562" w:rsidR="00C24896" w:rsidRPr="00C91AAE" w:rsidRDefault="00C24896" w:rsidP="00C91AAE">
                  <w:pPr>
                    <w:rPr>
                      <w:rFonts w:cstheme="minorHAnsi"/>
                      <w:szCs w:val="24"/>
                      <w:lang w:val="en-US"/>
                    </w:rPr>
                  </w:pPr>
                  <w:r w:rsidRPr="00C24896">
                    <w:rPr>
                      <w:rFonts w:cstheme="minorHAnsi"/>
                      <w:szCs w:val="24"/>
                    </w:rPr>
                    <w:t>EDI Manager</w:t>
                  </w:r>
                </w:p>
              </w:tc>
            </w:tr>
            <w:tr w:rsidR="00C91AAE" w:rsidRPr="00C91AAE" w14:paraId="26AE0C2B" w14:textId="77777777" w:rsidTr="003352D5">
              <w:trPr>
                <w:trHeight w:val="1277"/>
              </w:trPr>
              <w:tc>
                <w:tcPr>
                  <w:tcW w:w="2841" w:type="dxa"/>
                </w:tcPr>
                <w:p w14:paraId="434C6999" w14:textId="77777777" w:rsidR="00C91AAE" w:rsidRPr="00C91AAE" w:rsidRDefault="00C91AAE" w:rsidP="00C91AAE">
                  <w:pPr>
                    <w:rPr>
                      <w:rFonts w:cstheme="minorHAnsi"/>
                      <w:szCs w:val="24"/>
                      <w:lang w:val="en-US"/>
                    </w:rPr>
                  </w:pPr>
                  <w:r w:rsidRPr="00C91AAE">
                    <w:rPr>
                      <w:rFonts w:cstheme="minorHAnsi"/>
                      <w:szCs w:val="24"/>
                      <w:lang w:val="en-US"/>
                    </w:rPr>
                    <w:lastRenderedPageBreak/>
                    <w:t>Proposed interventions</w:t>
                  </w:r>
                </w:p>
              </w:tc>
              <w:tc>
                <w:tcPr>
                  <w:tcW w:w="5413" w:type="dxa"/>
                </w:tcPr>
                <w:p w14:paraId="657BF08A" w14:textId="77777777" w:rsidR="00C91AAE" w:rsidRPr="00C91AAE" w:rsidRDefault="00C91AAE" w:rsidP="00C91AAE">
                  <w:pPr>
                    <w:numPr>
                      <w:ilvl w:val="0"/>
                      <w:numId w:val="18"/>
                    </w:numPr>
                    <w:rPr>
                      <w:rFonts w:cstheme="minorHAnsi"/>
                      <w:szCs w:val="24"/>
                      <w:lang w:val="en-US"/>
                    </w:rPr>
                  </w:pPr>
                  <w:r w:rsidRPr="00C91AAE">
                    <w:rPr>
                      <w:rFonts w:cstheme="minorHAnsi"/>
                      <w:szCs w:val="24"/>
                    </w:rPr>
                    <w:t>Launch a structured leadership development programme for staff in lower pay bands, focusing on career acceleration and skill-building. We are in the process of launching an ILM-accredited Leadership and Management Programme for Bands 2–4, in partnership with South Bank Colleges (Lambeth College). This programme will support clinical and non-clinical staff to build leadership skills, boost confidence, and progress in their careers, with a focus on strengthening representation in future talent pipelines.</w:t>
                  </w:r>
                </w:p>
                <w:p w14:paraId="5EC7D5CB" w14:textId="77777777" w:rsidR="00C91AAE" w:rsidRPr="00C91AAE" w:rsidRDefault="00C91AAE" w:rsidP="00C91AAE">
                  <w:pPr>
                    <w:numPr>
                      <w:ilvl w:val="0"/>
                      <w:numId w:val="18"/>
                    </w:numPr>
                    <w:rPr>
                      <w:rFonts w:cstheme="minorHAnsi"/>
                      <w:szCs w:val="24"/>
                      <w:lang w:val="en-US"/>
                    </w:rPr>
                  </w:pPr>
                  <w:r w:rsidRPr="00C91AAE">
                    <w:rPr>
                      <w:rFonts w:cstheme="minorHAnsi"/>
                      <w:szCs w:val="24"/>
                    </w:rPr>
                    <w:t>Introduce targeted mentoring and sponsorship schemes for women aspiring to senior roles, ensuring visibility and access to career-enhancing opportunities.</w:t>
                  </w:r>
                </w:p>
                <w:p w14:paraId="3361A9A9" w14:textId="77777777" w:rsidR="00C91AAE" w:rsidRPr="00C91AAE" w:rsidRDefault="00C91AAE" w:rsidP="00C91AAE">
                  <w:pPr>
                    <w:numPr>
                      <w:ilvl w:val="0"/>
                      <w:numId w:val="18"/>
                    </w:numPr>
                    <w:rPr>
                      <w:rFonts w:cstheme="minorHAnsi"/>
                      <w:szCs w:val="24"/>
                      <w:lang w:val="en-US"/>
                    </w:rPr>
                  </w:pPr>
                  <w:r w:rsidRPr="00C91AAE">
                    <w:rPr>
                      <w:rFonts w:cstheme="minorHAnsi"/>
                      <w:szCs w:val="24"/>
                    </w:rPr>
                    <w:t>Enhance flexible working policies to support career progression, with clear pathways to leadership for part-time and returning employees.</w:t>
                  </w:r>
                </w:p>
              </w:tc>
              <w:tc>
                <w:tcPr>
                  <w:tcW w:w="1886" w:type="dxa"/>
                </w:tcPr>
                <w:p w14:paraId="44B674DD" w14:textId="77777777" w:rsidR="00C91AAE" w:rsidRPr="00707D82" w:rsidRDefault="00C91AAE" w:rsidP="00C91AAE">
                  <w:pPr>
                    <w:rPr>
                      <w:rFonts w:cstheme="minorHAnsi"/>
                      <w:szCs w:val="24"/>
                      <w:lang w:val="en-US"/>
                    </w:rPr>
                  </w:pPr>
                  <w:r w:rsidRPr="00707D82">
                    <w:rPr>
                      <w:rFonts w:cstheme="minorHAnsi"/>
                      <w:szCs w:val="24"/>
                      <w:lang w:val="en-US"/>
                    </w:rPr>
                    <w:t>EDI Manager</w:t>
                  </w:r>
                </w:p>
              </w:tc>
            </w:tr>
            <w:bookmarkEnd w:id="0"/>
          </w:tbl>
          <w:p w14:paraId="7E1584D7" w14:textId="77777777" w:rsidR="00C91AAE" w:rsidRPr="00BE3154" w:rsidRDefault="00C91AAE" w:rsidP="00C91AAE">
            <w:pPr>
              <w:rPr>
                <w:rFonts w:cstheme="minorHAnsi"/>
                <w:szCs w:val="24"/>
                <w:lang w:val="en-US"/>
              </w:rPr>
            </w:pPr>
          </w:p>
          <w:p w14:paraId="1A96274A" w14:textId="24FD5781" w:rsidR="00C91AAE" w:rsidRPr="00C91AAE" w:rsidRDefault="00BE3154" w:rsidP="00C91AAE">
            <w:pPr>
              <w:rPr>
                <w:rFonts w:cstheme="minorHAnsi"/>
                <w:szCs w:val="24"/>
              </w:rPr>
            </w:pPr>
            <w:r w:rsidRPr="00BE3154">
              <w:rPr>
                <w:rFonts w:cstheme="minorHAnsi"/>
                <w:szCs w:val="24"/>
              </w:rPr>
              <w:t>In line with statutory requirements, the 2024 Gender Pay Gap Report is now due for publication and will be published on the trust</w:t>
            </w:r>
            <w:r w:rsidR="001E6CF2">
              <w:rPr>
                <w:rFonts w:cstheme="minorHAnsi"/>
                <w:szCs w:val="24"/>
              </w:rPr>
              <w:t>’s</w:t>
            </w:r>
            <w:r w:rsidRPr="00BE3154">
              <w:rPr>
                <w:rFonts w:cstheme="minorHAnsi"/>
                <w:szCs w:val="24"/>
              </w:rPr>
              <w:t xml:space="preserve"> website and reported on the national Gender Pay Gap reporting service. </w:t>
            </w:r>
          </w:p>
          <w:p w14:paraId="55F56D7A" w14:textId="77777777" w:rsidR="00BE3154" w:rsidRPr="00BE3154" w:rsidRDefault="00BE3154" w:rsidP="00C91AAE">
            <w:pPr>
              <w:rPr>
                <w:rFonts w:cstheme="minorHAnsi"/>
                <w:szCs w:val="24"/>
              </w:rPr>
            </w:pPr>
          </w:p>
          <w:p w14:paraId="17F2D60D" w14:textId="77777777" w:rsidR="00BE3154" w:rsidRDefault="00BE3154" w:rsidP="00C91AAE">
            <w:pPr>
              <w:rPr>
                <w:rFonts w:cstheme="minorHAnsi"/>
                <w:b/>
                <w:bCs/>
                <w:szCs w:val="24"/>
              </w:rPr>
            </w:pPr>
          </w:p>
          <w:p w14:paraId="5554E30E" w14:textId="77777777" w:rsidR="007E335B" w:rsidRDefault="007E335B" w:rsidP="00C91AAE">
            <w:pPr>
              <w:rPr>
                <w:rFonts w:cstheme="minorHAnsi"/>
                <w:b/>
                <w:bCs/>
                <w:szCs w:val="24"/>
              </w:rPr>
            </w:pPr>
          </w:p>
          <w:p w14:paraId="740BE564" w14:textId="5A0A67F2" w:rsidR="00C91AAE" w:rsidRPr="00C91AAE" w:rsidRDefault="00C91AAE" w:rsidP="00C91AAE">
            <w:pPr>
              <w:rPr>
                <w:rFonts w:cstheme="minorHAnsi"/>
                <w:b/>
                <w:bCs/>
                <w:szCs w:val="24"/>
              </w:rPr>
            </w:pPr>
            <w:r w:rsidRPr="00C91AAE">
              <w:rPr>
                <w:rFonts w:cstheme="minorHAnsi"/>
                <w:b/>
                <w:bCs/>
                <w:szCs w:val="24"/>
              </w:rPr>
              <w:t>Appendix A</w:t>
            </w:r>
          </w:p>
          <w:p w14:paraId="076C2F2F" w14:textId="77777777" w:rsidR="00C91AAE" w:rsidRPr="00C91AAE" w:rsidRDefault="00C91AAE" w:rsidP="00C91AAE">
            <w:pPr>
              <w:rPr>
                <w:rFonts w:cstheme="minorHAnsi"/>
                <w:b/>
                <w:bCs/>
                <w:szCs w:val="24"/>
              </w:rPr>
            </w:pPr>
            <w:r w:rsidRPr="00C91AAE">
              <w:rPr>
                <w:rFonts w:cstheme="minorHAnsi"/>
                <w:b/>
                <w:bCs/>
                <w:szCs w:val="24"/>
              </w:rPr>
              <w:t>Summary of Key Gender Pay Gap Trends (2023–2024)</w:t>
            </w:r>
          </w:p>
          <w:p w14:paraId="5C5AC94E" w14:textId="77777777" w:rsidR="00C91AAE" w:rsidRPr="00C91AAE" w:rsidRDefault="00C91AAE" w:rsidP="00C91AAE">
            <w:pPr>
              <w:rPr>
                <w:rFonts w:cstheme="minorHAnsi"/>
                <w:b/>
                <w:bCs/>
                <w:szCs w:val="24"/>
              </w:rPr>
            </w:pPr>
          </w:p>
          <w:tbl>
            <w:tblPr>
              <w:tblW w:w="10869" w:type="dxa"/>
              <w:tblLook w:val="04A0" w:firstRow="1" w:lastRow="0" w:firstColumn="1" w:lastColumn="0" w:noHBand="0" w:noVBand="1"/>
            </w:tblPr>
            <w:tblGrid>
              <w:gridCol w:w="1690"/>
              <w:gridCol w:w="1891"/>
              <w:gridCol w:w="1086"/>
              <w:gridCol w:w="1260"/>
              <w:gridCol w:w="1158"/>
              <w:gridCol w:w="3784"/>
            </w:tblGrid>
            <w:tr w:rsidR="00C91AAE" w:rsidRPr="00C91AAE" w14:paraId="10DCBBE6" w14:textId="77777777" w:rsidTr="003352D5">
              <w:trPr>
                <w:trHeight w:val="421"/>
              </w:trPr>
              <w:tc>
                <w:tcPr>
                  <w:tcW w:w="1707" w:type="dxa"/>
                  <w:tcBorders>
                    <w:top w:val="single" w:sz="4" w:space="0" w:color="auto"/>
                    <w:left w:val="single" w:sz="4" w:space="0" w:color="auto"/>
                    <w:bottom w:val="single" w:sz="4" w:space="0" w:color="auto"/>
                    <w:right w:val="single" w:sz="4" w:space="0" w:color="auto"/>
                  </w:tcBorders>
                </w:tcPr>
                <w:p w14:paraId="21E9AE1F" w14:textId="77777777" w:rsidR="00C91AAE" w:rsidRPr="00C91AAE" w:rsidRDefault="00C91AAE" w:rsidP="00C91AAE">
                  <w:pPr>
                    <w:rPr>
                      <w:rFonts w:cstheme="minorHAnsi"/>
                      <w:b/>
                      <w:bCs/>
                      <w:szCs w:val="24"/>
                    </w:rPr>
                  </w:pPr>
                  <w:r w:rsidRPr="00C91AAE">
                    <w:rPr>
                      <w:rFonts w:cstheme="minorHAnsi"/>
                      <w:b/>
                      <w:bCs/>
                      <w:szCs w:val="24"/>
                    </w:rPr>
                    <w:t>Equity Impact</w:t>
                  </w:r>
                </w:p>
              </w:tc>
              <w:tc>
                <w:tcPr>
                  <w:tcW w:w="1891" w:type="dxa"/>
                  <w:tcBorders>
                    <w:top w:val="single" w:sz="4" w:space="0" w:color="auto"/>
                    <w:left w:val="single" w:sz="4" w:space="0" w:color="auto"/>
                    <w:bottom w:val="single" w:sz="4" w:space="0" w:color="auto"/>
                    <w:right w:val="single" w:sz="4" w:space="0" w:color="auto"/>
                  </w:tcBorders>
                  <w:shd w:val="clear" w:color="auto" w:fill="auto"/>
                  <w:noWrap/>
                  <w:hideMark/>
                </w:tcPr>
                <w:p w14:paraId="1CC9AD9C" w14:textId="77777777" w:rsidR="00C91AAE" w:rsidRPr="00C91AAE" w:rsidRDefault="00C91AAE" w:rsidP="00C91AAE">
                  <w:pPr>
                    <w:rPr>
                      <w:rFonts w:cstheme="minorHAnsi"/>
                      <w:b/>
                      <w:bCs/>
                      <w:szCs w:val="24"/>
                    </w:rPr>
                  </w:pPr>
                  <w:r w:rsidRPr="00C91AAE">
                    <w:rPr>
                      <w:rFonts w:cstheme="minorHAnsi"/>
                      <w:b/>
                      <w:bCs/>
                      <w:szCs w:val="24"/>
                    </w:rPr>
                    <w:t>Area</w:t>
                  </w:r>
                </w:p>
              </w:tc>
              <w:tc>
                <w:tcPr>
                  <w:tcW w:w="1086" w:type="dxa"/>
                  <w:tcBorders>
                    <w:top w:val="single" w:sz="4" w:space="0" w:color="auto"/>
                    <w:left w:val="nil"/>
                    <w:bottom w:val="single" w:sz="4" w:space="0" w:color="auto"/>
                    <w:right w:val="single" w:sz="4" w:space="0" w:color="auto"/>
                  </w:tcBorders>
                  <w:shd w:val="clear" w:color="auto" w:fill="auto"/>
                  <w:noWrap/>
                  <w:hideMark/>
                </w:tcPr>
                <w:p w14:paraId="0016050E" w14:textId="77777777" w:rsidR="00C91AAE" w:rsidRPr="00C91AAE" w:rsidRDefault="00C91AAE" w:rsidP="00C91AAE">
                  <w:pPr>
                    <w:rPr>
                      <w:rFonts w:cstheme="minorHAnsi"/>
                      <w:b/>
                      <w:bCs/>
                      <w:szCs w:val="24"/>
                    </w:rPr>
                  </w:pPr>
                  <w:r w:rsidRPr="00C91AAE">
                    <w:rPr>
                      <w:rFonts w:cstheme="minorHAnsi"/>
                      <w:b/>
                      <w:bCs/>
                      <w:szCs w:val="24"/>
                    </w:rPr>
                    <w:t>2023</w:t>
                  </w:r>
                </w:p>
              </w:tc>
              <w:tc>
                <w:tcPr>
                  <w:tcW w:w="1260" w:type="dxa"/>
                  <w:tcBorders>
                    <w:top w:val="single" w:sz="4" w:space="0" w:color="auto"/>
                    <w:left w:val="nil"/>
                    <w:bottom w:val="single" w:sz="4" w:space="0" w:color="auto"/>
                    <w:right w:val="single" w:sz="4" w:space="0" w:color="auto"/>
                  </w:tcBorders>
                  <w:shd w:val="clear" w:color="auto" w:fill="auto"/>
                  <w:noWrap/>
                  <w:hideMark/>
                </w:tcPr>
                <w:p w14:paraId="67CC9338" w14:textId="77777777" w:rsidR="00C91AAE" w:rsidRPr="00C91AAE" w:rsidRDefault="00C91AAE" w:rsidP="00C91AAE">
                  <w:pPr>
                    <w:rPr>
                      <w:rFonts w:cstheme="minorHAnsi"/>
                      <w:b/>
                      <w:bCs/>
                      <w:szCs w:val="24"/>
                    </w:rPr>
                  </w:pPr>
                  <w:r w:rsidRPr="00C91AAE">
                    <w:rPr>
                      <w:rFonts w:cstheme="minorHAnsi"/>
                      <w:b/>
                      <w:bCs/>
                      <w:szCs w:val="24"/>
                    </w:rPr>
                    <w:t>2024</w:t>
                  </w:r>
                </w:p>
              </w:tc>
              <w:tc>
                <w:tcPr>
                  <w:tcW w:w="1141" w:type="dxa"/>
                  <w:tcBorders>
                    <w:top w:val="single" w:sz="4" w:space="0" w:color="auto"/>
                    <w:left w:val="nil"/>
                    <w:bottom w:val="single" w:sz="4" w:space="0" w:color="auto"/>
                    <w:right w:val="single" w:sz="4" w:space="0" w:color="auto"/>
                  </w:tcBorders>
                  <w:shd w:val="clear" w:color="auto" w:fill="auto"/>
                  <w:noWrap/>
                  <w:hideMark/>
                </w:tcPr>
                <w:p w14:paraId="2E38C0D6" w14:textId="77777777" w:rsidR="00C91AAE" w:rsidRPr="00C91AAE" w:rsidRDefault="00C91AAE" w:rsidP="00C91AAE">
                  <w:pPr>
                    <w:rPr>
                      <w:rFonts w:cstheme="minorHAnsi"/>
                      <w:b/>
                      <w:bCs/>
                      <w:szCs w:val="24"/>
                    </w:rPr>
                  </w:pPr>
                  <w:r w:rsidRPr="00C91AAE">
                    <w:rPr>
                      <w:rFonts w:cstheme="minorHAnsi"/>
                      <w:b/>
                      <w:bCs/>
                      <w:szCs w:val="24"/>
                    </w:rPr>
                    <w:t>Change</w:t>
                  </w:r>
                </w:p>
              </w:tc>
              <w:tc>
                <w:tcPr>
                  <w:tcW w:w="3784" w:type="dxa"/>
                  <w:tcBorders>
                    <w:top w:val="single" w:sz="4" w:space="0" w:color="auto"/>
                    <w:left w:val="nil"/>
                    <w:bottom w:val="single" w:sz="4" w:space="0" w:color="auto"/>
                    <w:right w:val="single" w:sz="4" w:space="0" w:color="auto"/>
                  </w:tcBorders>
                  <w:shd w:val="clear" w:color="auto" w:fill="auto"/>
                  <w:noWrap/>
                  <w:hideMark/>
                </w:tcPr>
                <w:p w14:paraId="524A8BA9" w14:textId="77777777" w:rsidR="00C91AAE" w:rsidRPr="00C91AAE" w:rsidRDefault="00C91AAE" w:rsidP="00C91AAE">
                  <w:pPr>
                    <w:rPr>
                      <w:rFonts w:cstheme="minorHAnsi"/>
                      <w:b/>
                      <w:bCs/>
                      <w:szCs w:val="24"/>
                    </w:rPr>
                  </w:pPr>
                  <w:r w:rsidRPr="00C91AAE">
                    <w:rPr>
                      <w:rFonts w:cstheme="minorHAnsi"/>
                      <w:b/>
                      <w:bCs/>
                      <w:szCs w:val="24"/>
                    </w:rPr>
                    <w:t>Impact / Insight</w:t>
                  </w:r>
                </w:p>
              </w:tc>
            </w:tr>
            <w:tr w:rsidR="00C91AAE" w:rsidRPr="00C91AAE" w14:paraId="643EADFE" w14:textId="77777777" w:rsidTr="003352D5">
              <w:trPr>
                <w:trHeight w:val="421"/>
              </w:trPr>
              <w:tc>
                <w:tcPr>
                  <w:tcW w:w="1707" w:type="dxa"/>
                  <w:tcBorders>
                    <w:top w:val="nil"/>
                    <w:left w:val="single" w:sz="4" w:space="0" w:color="auto"/>
                    <w:bottom w:val="single" w:sz="4" w:space="0" w:color="auto"/>
                    <w:right w:val="single" w:sz="4" w:space="0" w:color="auto"/>
                  </w:tcBorders>
                  <w:shd w:val="clear" w:color="000000" w:fill="C5D9F1"/>
                </w:tcPr>
                <w:p w14:paraId="7F211070" w14:textId="77777777" w:rsidR="00C91AAE" w:rsidRPr="00C91AAE" w:rsidRDefault="00C91AAE" w:rsidP="00C91AAE">
                  <w:pPr>
                    <w:rPr>
                      <w:rFonts w:cstheme="minorHAnsi"/>
                      <w:b/>
                      <w:bCs/>
                      <w:szCs w:val="24"/>
                    </w:rPr>
                  </w:pPr>
                  <w:r w:rsidRPr="00C91AAE">
                    <w:rPr>
                      <w:rFonts w:cstheme="minorHAnsi"/>
                      <w:b/>
                      <w:bCs/>
                      <w:szCs w:val="24"/>
                    </w:rPr>
                    <w:t>Progress Highlights</w:t>
                  </w:r>
                </w:p>
              </w:tc>
              <w:tc>
                <w:tcPr>
                  <w:tcW w:w="1891" w:type="dxa"/>
                  <w:tcBorders>
                    <w:top w:val="nil"/>
                    <w:left w:val="single" w:sz="4" w:space="0" w:color="auto"/>
                    <w:bottom w:val="single" w:sz="4" w:space="0" w:color="auto"/>
                    <w:right w:val="single" w:sz="4" w:space="0" w:color="auto"/>
                  </w:tcBorders>
                  <w:shd w:val="clear" w:color="000000" w:fill="C5D9F1"/>
                  <w:noWrap/>
                  <w:vAlign w:val="bottom"/>
                  <w:hideMark/>
                </w:tcPr>
                <w:p w14:paraId="32808722" w14:textId="77777777" w:rsidR="00C91AAE" w:rsidRPr="00C91AAE" w:rsidRDefault="00C91AAE" w:rsidP="00C91AAE">
                  <w:pPr>
                    <w:rPr>
                      <w:rFonts w:cstheme="minorHAnsi"/>
                      <w:b/>
                      <w:bCs/>
                      <w:szCs w:val="24"/>
                    </w:rPr>
                  </w:pPr>
                  <w:r w:rsidRPr="00C91AAE">
                    <w:rPr>
                      <w:rFonts w:cstheme="minorHAnsi"/>
                      <w:b/>
                      <w:bCs/>
                      <w:szCs w:val="24"/>
                    </w:rPr>
                    <w:t>Bonus Pay Gap (Mean)</w:t>
                  </w:r>
                </w:p>
              </w:tc>
              <w:tc>
                <w:tcPr>
                  <w:tcW w:w="1086" w:type="dxa"/>
                  <w:tcBorders>
                    <w:top w:val="nil"/>
                    <w:left w:val="nil"/>
                    <w:bottom w:val="single" w:sz="4" w:space="0" w:color="auto"/>
                    <w:right w:val="single" w:sz="4" w:space="0" w:color="auto"/>
                  </w:tcBorders>
                  <w:shd w:val="clear" w:color="000000" w:fill="C5D9F1"/>
                  <w:noWrap/>
                  <w:vAlign w:val="bottom"/>
                  <w:hideMark/>
                </w:tcPr>
                <w:p w14:paraId="07CCF34E" w14:textId="77777777" w:rsidR="00C91AAE" w:rsidRPr="00C91AAE" w:rsidRDefault="00C91AAE" w:rsidP="00C91AAE">
                  <w:pPr>
                    <w:rPr>
                      <w:rFonts w:cstheme="minorHAnsi"/>
                      <w:b/>
                      <w:bCs/>
                      <w:szCs w:val="24"/>
                    </w:rPr>
                  </w:pPr>
                  <w:r w:rsidRPr="00C91AAE">
                    <w:rPr>
                      <w:rFonts w:cstheme="minorHAnsi"/>
                      <w:b/>
                      <w:bCs/>
                      <w:szCs w:val="24"/>
                    </w:rPr>
                    <w:t>7.13% in favour of men</w:t>
                  </w:r>
                </w:p>
              </w:tc>
              <w:tc>
                <w:tcPr>
                  <w:tcW w:w="1260" w:type="dxa"/>
                  <w:tcBorders>
                    <w:top w:val="nil"/>
                    <w:left w:val="nil"/>
                    <w:bottom w:val="single" w:sz="4" w:space="0" w:color="auto"/>
                    <w:right w:val="single" w:sz="4" w:space="0" w:color="auto"/>
                  </w:tcBorders>
                  <w:shd w:val="clear" w:color="000000" w:fill="C5D9F1"/>
                  <w:noWrap/>
                  <w:vAlign w:val="bottom"/>
                  <w:hideMark/>
                </w:tcPr>
                <w:p w14:paraId="5C9EA38B" w14:textId="77777777" w:rsidR="00C91AAE" w:rsidRPr="00C91AAE" w:rsidRDefault="00C91AAE" w:rsidP="00C91AAE">
                  <w:pPr>
                    <w:rPr>
                      <w:rFonts w:cstheme="minorHAnsi"/>
                      <w:b/>
                      <w:bCs/>
                      <w:szCs w:val="24"/>
                    </w:rPr>
                  </w:pPr>
                  <w:r w:rsidRPr="00C91AAE">
                    <w:rPr>
                      <w:rFonts w:cstheme="minorHAnsi"/>
                      <w:b/>
                      <w:bCs/>
                      <w:szCs w:val="24"/>
                    </w:rPr>
                    <w:t>-4.38% in favour of women</w:t>
                  </w:r>
                </w:p>
              </w:tc>
              <w:tc>
                <w:tcPr>
                  <w:tcW w:w="1141" w:type="dxa"/>
                  <w:tcBorders>
                    <w:top w:val="nil"/>
                    <w:left w:val="nil"/>
                    <w:bottom w:val="single" w:sz="4" w:space="0" w:color="auto"/>
                    <w:right w:val="single" w:sz="4" w:space="0" w:color="auto"/>
                  </w:tcBorders>
                  <w:shd w:val="clear" w:color="000000" w:fill="C5D9F1"/>
                  <w:noWrap/>
                  <w:vAlign w:val="bottom"/>
                  <w:hideMark/>
                </w:tcPr>
                <w:p w14:paraId="4CF4EBC7" w14:textId="77777777" w:rsidR="00C91AAE" w:rsidRPr="00C91AAE" w:rsidRDefault="00C91AAE" w:rsidP="00C91AAE">
                  <w:pPr>
                    <w:rPr>
                      <w:rFonts w:cstheme="minorHAnsi"/>
                      <w:b/>
                      <w:bCs/>
                      <w:szCs w:val="24"/>
                    </w:rPr>
                  </w:pPr>
                  <w:r w:rsidRPr="00C91AAE">
                    <w:rPr>
                      <w:rFonts w:cstheme="minorHAnsi"/>
                      <w:b/>
                      <w:bCs/>
                      <w:szCs w:val="24"/>
                    </w:rPr>
                    <w:t>Reversed</w:t>
                  </w:r>
                </w:p>
              </w:tc>
              <w:tc>
                <w:tcPr>
                  <w:tcW w:w="3784" w:type="dxa"/>
                  <w:tcBorders>
                    <w:top w:val="nil"/>
                    <w:left w:val="nil"/>
                    <w:bottom w:val="single" w:sz="4" w:space="0" w:color="auto"/>
                    <w:right w:val="single" w:sz="4" w:space="0" w:color="auto"/>
                  </w:tcBorders>
                  <w:shd w:val="clear" w:color="000000" w:fill="C5D9F1"/>
                  <w:noWrap/>
                  <w:vAlign w:val="bottom"/>
                  <w:hideMark/>
                </w:tcPr>
                <w:p w14:paraId="6B061ACA" w14:textId="77777777" w:rsidR="00C91AAE" w:rsidRPr="00C91AAE" w:rsidRDefault="00C91AAE" w:rsidP="00C91AAE">
                  <w:pPr>
                    <w:rPr>
                      <w:rFonts w:cstheme="minorHAnsi"/>
                      <w:b/>
                      <w:bCs/>
                      <w:szCs w:val="24"/>
                    </w:rPr>
                  </w:pPr>
                  <w:r w:rsidRPr="00C91AAE">
                    <w:rPr>
                      <w:rFonts w:cstheme="minorHAnsi"/>
                      <w:b/>
                      <w:bCs/>
                      <w:szCs w:val="24"/>
                    </w:rPr>
                    <w:t>Significant progress in bonus equity – women now receive higher average bonuses.</w:t>
                  </w:r>
                </w:p>
              </w:tc>
            </w:tr>
            <w:tr w:rsidR="00C91AAE" w:rsidRPr="00C91AAE" w14:paraId="31FAD0DC" w14:textId="77777777" w:rsidTr="003352D5">
              <w:trPr>
                <w:trHeight w:val="421"/>
              </w:trPr>
              <w:tc>
                <w:tcPr>
                  <w:tcW w:w="1707" w:type="dxa"/>
                  <w:tcBorders>
                    <w:top w:val="nil"/>
                    <w:left w:val="single" w:sz="4" w:space="0" w:color="auto"/>
                    <w:bottom w:val="single" w:sz="4" w:space="0" w:color="auto"/>
                    <w:right w:val="single" w:sz="4" w:space="0" w:color="auto"/>
                  </w:tcBorders>
                  <w:shd w:val="clear" w:color="000000" w:fill="C5D9F1"/>
                </w:tcPr>
                <w:p w14:paraId="53A5D7CB" w14:textId="77777777" w:rsidR="00C91AAE" w:rsidRPr="00C91AAE" w:rsidRDefault="00C91AAE" w:rsidP="00C91AAE">
                  <w:pPr>
                    <w:rPr>
                      <w:rFonts w:cstheme="minorHAnsi"/>
                      <w:b/>
                      <w:bCs/>
                      <w:szCs w:val="24"/>
                    </w:rPr>
                  </w:pPr>
                  <w:r w:rsidRPr="00C91AAE">
                    <w:rPr>
                      <w:rFonts w:cstheme="minorHAnsi"/>
                      <w:b/>
                      <w:bCs/>
                      <w:szCs w:val="24"/>
                    </w:rPr>
                    <w:t>Progress Highlights</w:t>
                  </w:r>
                </w:p>
              </w:tc>
              <w:tc>
                <w:tcPr>
                  <w:tcW w:w="1891" w:type="dxa"/>
                  <w:tcBorders>
                    <w:top w:val="nil"/>
                    <w:left w:val="single" w:sz="4" w:space="0" w:color="auto"/>
                    <w:bottom w:val="single" w:sz="4" w:space="0" w:color="auto"/>
                    <w:right w:val="single" w:sz="4" w:space="0" w:color="auto"/>
                  </w:tcBorders>
                  <w:shd w:val="clear" w:color="000000" w:fill="C5D9F1"/>
                  <w:noWrap/>
                  <w:vAlign w:val="bottom"/>
                  <w:hideMark/>
                </w:tcPr>
                <w:p w14:paraId="1C545D84" w14:textId="77777777" w:rsidR="00C91AAE" w:rsidRPr="00C91AAE" w:rsidRDefault="00C91AAE" w:rsidP="00C91AAE">
                  <w:pPr>
                    <w:rPr>
                      <w:rFonts w:cstheme="minorHAnsi"/>
                      <w:b/>
                      <w:bCs/>
                      <w:szCs w:val="24"/>
                    </w:rPr>
                  </w:pPr>
                  <w:r w:rsidRPr="00C91AAE">
                    <w:rPr>
                      <w:rFonts w:cstheme="minorHAnsi"/>
                      <w:b/>
                      <w:bCs/>
                      <w:szCs w:val="24"/>
                    </w:rPr>
                    <w:t>Band 1–4 Pay Gap (Mean)</w:t>
                  </w:r>
                </w:p>
              </w:tc>
              <w:tc>
                <w:tcPr>
                  <w:tcW w:w="1086" w:type="dxa"/>
                  <w:tcBorders>
                    <w:top w:val="nil"/>
                    <w:left w:val="nil"/>
                    <w:bottom w:val="single" w:sz="4" w:space="0" w:color="auto"/>
                    <w:right w:val="single" w:sz="4" w:space="0" w:color="auto"/>
                  </w:tcBorders>
                  <w:shd w:val="clear" w:color="000000" w:fill="C5D9F1"/>
                  <w:noWrap/>
                  <w:vAlign w:val="bottom"/>
                  <w:hideMark/>
                </w:tcPr>
                <w:p w14:paraId="6B945177" w14:textId="77777777" w:rsidR="00C91AAE" w:rsidRPr="00C91AAE" w:rsidRDefault="00C91AAE" w:rsidP="00C91AAE">
                  <w:pPr>
                    <w:rPr>
                      <w:rFonts w:cstheme="minorHAnsi"/>
                      <w:b/>
                      <w:bCs/>
                      <w:szCs w:val="24"/>
                    </w:rPr>
                  </w:pPr>
                  <w:r w:rsidRPr="00C91AAE">
                    <w:rPr>
                      <w:rFonts w:cstheme="minorHAnsi"/>
                      <w:b/>
                      <w:bCs/>
                      <w:szCs w:val="24"/>
                    </w:rPr>
                    <w:t>2.21% in favour of men</w:t>
                  </w:r>
                </w:p>
              </w:tc>
              <w:tc>
                <w:tcPr>
                  <w:tcW w:w="1260" w:type="dxa"/>
                  <w:tcBorders>
                    <w:top w:val="nil"/>
                    <w:left w:val="nil"/>
                    <w:bottom w:val="single" w:sz="4" w:space="0" w:color="auto"/>
                    <w:right w:val="single" w:sz="4" w:space="0" w:color="auto"/>
                  </w:tcBorders>
                  <w:shd w:val="clear" w:color="000000" w:fill="C5D9F1"/>
                  <w:noWrap/>
                  <w:vAlign w:val="bottom"/>
                  <w:hideMark/>
                </w:tcPr>
                <w:p w14:paraId="34062B22" w14:textId="77777777" w:rsidR="00C91AAE" w:rsidRPr="00C91AAE" w:rsidRDefault="00C91AAE" w:rsidP="00C91AAE">
                  <w:pPr>
                    <w:rPr>
                      <w:rFonts w:cstheme="minorHAnsi"/>
                      <w:b/>
                      <w:bCs/>
                      <w:szCs w:val="24"/>
                    </w:rPr>
                  </w:pPr>
                  <w:r w:rsidRPr="00C91AAE">
                    <w:rPr>
                      <w:rFonts w:cstheme="minorHAnsi"/>
                      <w:b/>
                      <w:bCs/>
                      <w:szCs w:val="24"/>
                    </w:rPr>
                    <w:t>-0.64% in favour of women</w:t>
                  </w:r>
                </w:p>
              </w:tc>
              <w:tc>
                <w:tcPr>
                  <w:tcW w:w="1141" w:type="dxa"/>
                  <w:tcBorders>
                    <w:top w:val="nil"/>
                    <w:left w:val="nil"/>
                    <w:bottom w:val="single" w:sz="4" w:space="0" w:color="auto"/>
                    <w:right w:val="single" w:sz="4" w:space="0" w:color="auto"/>
                  </w:tcBorders>
                  <w:shd w:val="clear" w:color="000000" w:fill="C5D9F1"/>
                  <w:noWrap/>
                  <w:vAlign w:val="bottom"/>
                  <w:hideMark/>
                </w:tcPr>
                <w:p w14:paraId="6BB17637" w14:textId="77777777" w:rsidR="00C91AAE" w:rsidRPr="00C91AAE" w:rsidRDefault="00C91AAE" w:rsidP="00C91AAE">
                  <w:pPr>
                    <w:rPr>
                      <w:rFonts w:cstheme="minorHAnsi"/>
                      <w:b/>
                      <w:bCs/>
                      <w:szCs w:val="24"/>
                    </w:rPr>
                  </w:pPr>
                  <w:r w:rsidRPr="00C91AAE">
                    <w:rPr>
                      <w:rFonts w:cstheme="minorHAnsi"/>
                      <w:b/>
                      <w:bCs/>
                      <w:szCs w:val="24"/>
                    </w:rPr>
                    <w:t>Improved to parity</w:t>
                  </w:r>
                </w:p>
              </w:tc>
              <w:tc>
                <w:tcPr>
                  <w:tcW w:w="3784" w:type="dxa"/>
                  <w:tcBorders>
                    <w:top w:val="nil"/>
                    <w:left w:val="nil"/>
                    <w:bottom w:val="single" w:sz="4" w:space="0" w:color="auto"/>
                    <w:right w:val="single" w:sz="4" w:space="0" w:color="auto"/>
                  </w:tcBorders>
                  <w:shd w:val="clear" w:color="000000" w:fill="C5D9F1"/>
                  <w:noWrap/>
                  <w:vAlign w:val="bottom"/>
                  <w:hideMark/>
                </w:tcPr>
                <w:p w14:paraId="12110508" w14:textId="77777777" w:rsidR="00C91AAE" w:rsidRPr="00C91AAE" w:rsidRDefault="00C91AAE" w:rsidP="00C91AAE">
                  <w:pPr>
                    <w:rPr>
                      <w:rFonts w:cstheme="minorHAnsi"/>
                      <w:b/>
                      <w:bCs/>
                      <w:szCs w:val="24"/>
                    </w:rPr>
                  </w:pPr>
                  <w:r w:rsidRPr="00C91AAE">
                    <w:rPr>
                      <w:rFonts w:cstheme="minorHAnsi"/>
                      <w:b/>
                      <w:bCs/>
                      <w:szCs w:val="24"/>
                    </w:rPr>
                    <w:t>Lowest pay bands now show near or full equality – a step toward fairness at entry.</w:t>
                  </w:r>
                </w:p>
              </w:tc>
            </w:tr>
            <w:tr w:rsidR="00C91AAE" w:rsidRPr="00C91AAE" w14:paraId="2A4C3F3A" w14:textId="77777777" w:rsidTr="003352D5">
              <w:trPr>
                <w:trHeight w:val="421"/>
              </w:trPr>
              <w:tc>
                <w:tcPr>
                  <w:tcW w:w="1707" w:type="dxa"/>
                  <w:tcBorders>
                    <w:top w:val="nil"/>
                    <w:left w:val="single" w:sz="4" w:space="0" w:color="auto"/>
                    <w:bottom w:val="single" w:sz="4" w:space="0" w:color="auto"/>
                    <w:right w:val="single" w:sz="4" w:space="0" w:color="auto"/>
                  </w:tcBorders>
                  <w:shd w:val="clear" w:color="000000" w:fill="DDD9C4"/>
                </w:tcPr>
                <w:p w14:paraId="7E2B504D" w14:textId="77777777" w:rsidR="00C91AAE" w:rsidRPr="00C91AAE" w:rsidRDefault="00C91AAE" w:rsidP="00C91AAE">
                  <w:pPr>
                    <w:rPr>
                      <w:rFonts w:cstheme="minorHAnsi"/>
                      <w:b/>
                      <w:bCs/>
                      <w:szCs w:val="24"/>
                    </w:rPr>
                  </w:pPr>
                  <w:r w:rsidRPr="00C91AAE">
                    <w:rPr>
                      <w:rFonts w:cstheme="minorHAnsi"/>
                      <w:b/>
                      <w:bCs/>
                      <w:szCs w:val="24"/>
                    </w:rPr>
                    <w:t>Focus Areas for Development</w:t>
                  </w:r>
                </w:p>
                <w:p w14:paraId="5EB485A5" w14:textId="77777777" w:rsidR="00C91AAE" w:rsidRPr="00C91AAE" w:rsidRDefault="00C91AAE" w:rsidP="00C91AAE">
                  <w:pPr>
                    <w:rPr>
                      <w:rFonts w:cstheme="minorHAnsi"/>
                      <w:b/>
                      <w:bCs/>
                      <w:szCs w:val="24"/>
                    </w:rPr>
                  </w:pPr>
                </w:p>
              </w:tc>
              <w:tc>
                <w:tcPr>
                  <w:tcW w:w="1891" w:type="dxa"/>
                  <w:tcBorders>
                    <w:top w:val="nil"/>
                    <w:left w:val="single" w:sz="4" w:space="0" w:color="auto"/>
                    <w:bottom w:val="single" w:sz="4" w:space="0" w:color="auto"/>
                    <w:right w:val="single" w:sz="4" w:space="0" w:color="auto"/>
                  </w:tcBorders>
                  <w:shd w:val="clear" w:color="000000" w:fill="DDD9C4"/>
                  <w:noWrap/>
                  <w:vAlign w:val="bottom"/>
                  <w:hideMark/>
                </w:tcPr>
                <w:p w14:paraId="4E77E587" w14:textId="77777777" w:rsidR="00C91AAE" w:rsidRPr="00C91AAE" w:rsidRDefault="00C91AAE" w:rsidP="00C91AAE">
                  <w:pPr>
                    <w:rPr>
                      <w:rFonts w:cstheme="minorHAnsi"/>
                      <w:b/>
                      <w:bCs/>
                      <w:szCs w:val="24"/>
                    </w:rPr>
                  </w:pPr>
                  <w:r w:rsidRPr="00C91AAE">
                    <w:rPr>
                      <w:rFonts w:cstheme="minorHAnsi"/>
                      <w:b/>
                      <w:bCs/>
                      <w:szCs w:val="24"/>
                    </w:rPr>
                    <w:t>Overall Mean Gender Pay Gap</w:t>
                  </w:r>
                </w:p>
              </w:tc>
              <w:tc>
                <w:tcPr>
                  <w:tcW w:w="1086" w:type="dxa"/>
                  <w:tcBorders>
                    <w:top w:val="nil"/>
                    <w:left w:val="nil"/>
                    <w:bottom w:val="single" w:sz="4" w:space="0" w:color="auto"/>
                    <w:right w:val="single" w:sz="4" w:space="0" w:color="auto"/>
                  </w:tcBorders>
                  <w:shd w:val="clear" w:color="000000" w:fill="DDD9C4"/>
                  <w:noWrap/>
                  <w:vAlign w:val="bottom"/>
                  <w:hideMark/>
                </w:tcPr>
                <w:p w14:paraId="68AD5D08" w14:textId="77777777" w:rsidR="00C91AAE" w:rsidRPr="00C91AAE" w:rsidRDefault="00C91AAE" w:rsidP="00C91AAE">
                  <w:pPr>
                    <w:rPr>
                      <w:rFonts w:cstheme="minorHAnsi"/>
                      <w:b/>
                      <w:bCs/>
                      <w:szCs w:val="24"/>
                    </w:rPr>
                  </w:pPr>
                  <w:r w:rsidRPr="00C91AAE">
                    <w:rPr>
                      <w:rFonts w:cstheme="minorHAnsi"/>
                      <w:b/>
                      <w:bCs/>
                      <w:szCs w:val="24"/>
                    </w:rPr>
                    <w:t>17.86%</w:t>
                  </w:r>
                </w:p>
              </w:tc>
              <w:tc>
                <w:tcPr>
                  <w:tcW w:w="1260" w:type="dxa"/>
                  <w:tcBorders>
                    <w:top w:val="nil"/>
                    <w:left w:val="nil"/>
                    <w:bottom w:val="single" w:sz="4" w:space="0" w:color="auto"/>
                    <w:right w:val="single" w:sz="4" w:space="0" w:color="auto"/>
                  </w:tcBorders>
                  <w:shd w:val="clear" w:color="000000" w:fill="DDD9C4"/>
                  <w:noWrap/>
                  <w:vAlign w:val="bottom"/>
                  <w:hideMark/>
                </w:tcPr>
                <w:p w14:paraId="5DD6F8CF" w14:textId="77777777" w:rsidR="00C91AAE" w:rsidRPr="00C91AAE" w:rsidRDefault="00C91AAE" w:rsidP="00C91AAE">
                  <w:pPr>
                    <w:rPr>
                      <w:rFonts w:cstheme="minorHAnsi"/>
                      <w:b/>
                      <w:bCs/>
                      <w:szCs w:val="24"/>
                    </w:rPr>
                  </w:pPr>
                  <w:r w:rsidRPr="00C91AAE">
                    <w:rPr>
                      <w:rFonts w:cstheme="minorHAnsi"/>
                      <w:b/>
                      <w:bCs/>
                      <w:szCs w:val="24"/>
                    </w:rPr>
                    <w:t>21.23%</w:t>
                  </w:r>
                </w:p>
              </w:tc>
              <w:tc>
                <w:tcPr>
                  <w:tcW w:w="1141" w:type="dxa"/>
                  <w:tcBorders>
                    <w:top w:val="nil"/>
                    <w:left w:val="nil"/>
                    <w:bottom w:val="single" w:sz="4" w:space="0" w:color="auto"/>
                    <w:right w:val="single" w:sz="4" w:space="0" w:color="auto"/>
                  </w:tcBorders>
                  <w:shd w:val="clear" w:color="000000" w:fill="DDD9C4"/>
                  <w:noWrap/>
                  <w:vAlign w:val="bottom"/>
                  <w:hideMark/>
                </w:tcPr>
                <w:p w14:paraId="1B141589" w14:textId="77777777" w:rsidR="00C91AAE" w:rsidRPr="00C91AAE" w:rsidRDefault="00C91AAE" w:rsidP="00C91AAE">
                  <w:pPr>
                    <w:rPr>
                      <w:rFonts w:cstheme="minorHAnsi"/>
                      <w:b/>
                      <w:bCs/>
                      <w:szCs w:val="24"/>
                    </w:rPr>
                  </w:pPr>
                  <w:r w:rsidRPr="00C91AAE">
                    <w:rPr>
                      <w:rFonts w:cstheme="minorHAnsi"/>
                      <w:b/>
                      <w:bCs/>
                      <w:szCs w:val="24"/>
                    </w:rPr>
                    <w:t>Worsened</w:t>
                  </w:r>
                </w:p>
              </w:tc>
              <w:tc>
                <w:tcPr>
                  <w:tcW w:w="3784" w:type="dxa"/>
                  <w:tcBorders>
                    <w:top w:val="nil"/>
                    <w:left w:val="nil"/>
                    <w:bottom w:val="single" w:sz="4" w:space="0" w:color="auto"/>
                    <w:right w:val="single" w:sz="4" w:space="0" w:color="auto"/>
                  </w:tcBorders>
                  <w:shd w:val="clear" w:color="000000" w:fill="DDD9C4"/>
                  <w:noWrap/>
                  <w:vAlign w:val="bottom"/>
                  <w:hideMark/>
                </w:tcPr>
                <w:p w14:paraId="6C8AF7AB" w14:textId="77777777" w:rsidR="00C91AAE" w:rsidRPr="00C91AAE" w:rsidRDefault="00C91AAE" w:rsidP="00C91AAE">
                  <w:pPr>
                    <w:rPr>
                      <w:rFonts w:cstheme="minorHAnsi"/>
                      <w:b/>
                      <w:bCs/>
                      <w:szCs w:val="24"/>
                    </w:rPr>
                  </w:pPr>
                  <w:r w:rsidRPr="00C91AAE">
                    <w:rPr>
                      <w:rFonts w:cstheme="minorHAnsi"/>
                      <w:b/>
                      <w:bCs/>
                      <w:szCs w:val="24"/>
                    </w:rPr>
                    <w:t>The average pay gap has grown – suggesting widening inequality at senior levels.</w:t>
                  </w:r>
                </w:p>
              </w:tc>
            </w:tr>
            <w:tr w:rsidR="00C91AAE" w:rsidRPr="00C91AAE" w14:paraId="11E49D71" w14:textId="77777777" w:rsidTr="003352D5">
              <w:trPr>
                <w:trHeight w:val="421"/>
              </w:trPr>
              <w:tc>
                <w:tcPr>
                  <w:tcW w:w="1707" w:type="dxa"/>
                  <w:tcBorders>
                    <w:top w:val="nil"/>
                    <w:left w:val="single" w:sz="4" w:space="0" w:color="auto"/>
                    <w:bottom w:val="single" w:sz="4" w:space="0" w:color="auto"/>
                    <w:right w:val="single" w:sz="4" w:space="0" w:color="auto"/>
                  </w:tcBorders>
                  <w:shd w:val="clear" w:color="000000" w:fill="DDD9C4"/>
                </w:tcPr>
                <w:p w14:paraId="4A226152" w14:textId="77777777" w:rsidR="00C91AAE" w:rsidRPr="00C91AAE" w:rsidRDefault="00C91AAE" w:rsidP="00C91AAE">
                  <w:pPr>
                    <w:rPr>
                      <w:rFonts w:cstheme="minorHAnsi"/>
                      <w:b/>
                      <w:bCs/>
                      <w:szCs w:val="24"/>
                    </w:rPr>
                  </w:pPr>
                  <w:r w:rsidRPr="00C91AAE">
                    <w:rPr>
                      <w:rFonts w:cstheme="minorHAnsi"/>
                      <w:b/>
                      <w:bCs/>
                      <w:szCs w:val="24"/>
                    </w:rPr>
                    <w:t>Focus Areas for Development</w:t>
                  </w:r>
                </w:p>
                <w:p w14:paraId="23FC6B0C" w14:textId="77777777" w:rsidR="00C91AAE" w:rsidRPr="00C91AAE" w:rsidRDefault="00C91AAE" w:rsidP="00C91AAE">
                  <w:pPr>
                    <w:rPr>
                      <w:rFonts w:cstheme="minorHAnsi"/>
                      <w:b/>
                      <w:bCs/>
                      <w:szCs w:val="24"/>
                    </w:rPr>
                  </w:pPr>
                </w:p>
              </w:tc>
              <w:tc>
                <w:tcPr>
                  <w:tcW w:w="1891" w:type="dxa"/>
                  <w:tcBorders>
                    <w:top w:val="nil"/>
                    <w:left w:val="single" w:sz="4" w:space="0" w:color="auto"/>
                    <w:bottom w:val="single" w:sz="4" w:space="0" w:color="auto"/>
                    <w:right w:val="single" w:sz="4" w:space="0" w:color="auto"/>
                  </w:tcBorders>
                  <w:shd w:val="clear" w:color="000000" w:fill="DDD9C4"/>
                  <w:noWrap/>
                  <w:vAlign w:val="bottom"/>
                  <w:hideMark/>
                </w:tcPr>
                <w:p w14:paraId="25A36030" w14:textId="77777777" w:rsidR="00C91AAE" w:rsidRPr="00C91AAE" w:rsidRDefault="00C91AAE" w:rsidP="00C91AAE">
                  <w:pPr>
                    <w:rPr>
                      <w:rFonts w:cstheme="minorHAnsi"/>
                      <w:b/>
                      <w:bCs/>
                      <w:szCs w:val="24"/>
                    </w:rPr>
                  </w:pPr>
                  <w:r w:rsidRPr="00C91AAE">
                    <w:rPr>
                      <w:rFonts w:cstheme="minorHAnsi"/>
                      <w:b/>
                      <w:bCs/>
                      <w:szCs w:val="24"/>
                    </w:rPr>
                    <w:lastRenderedPageBreak/>
                    <w:t>Female Representation in Upper Quartile</w:t>
                  </w:r>
                </w:p>
              </w:tc>
              <w:tc>
                <w:tcPr>
                  <w:tcW w:w="1086" w:type="dxa"/>
                  <w:tcBorders>
                    <w:top w:val="nil"/>
                    <w:left w:val="nil"/>
                    <w:bottom w:val="single" w:sz="4" w:space="0" w:color="auto"/>
                    <w:right w:val="single" w:sz="4" w:space="0" w:color="auto"/>
                  </w:tcBorders>
                  <w:shd w:val="clear" w:color="000000" w:fill="DDD9C4"/>
                  <w:noWrap/>
                  <w:vAlign w:val="bottom"/>
                  <w:hideMark/>
                </w:tcPr>
                <w:p w14:paraId="07ADC717" w14:textId="77777777" w:rsidR="00C91AAE" w:rsidRPr="00C91AAE" w:rsidRDefault="00C91AAE" w:rsidP="00C91AAE">
                  <w:pPr>
                    <w:rPr>
                      <w:rFonts w:cstheme="minorHAnsi"/>
                      <w:b/>
                      <w:bCs/>
                      <w:szCs w:val="24"/>
                    </w:rPr>
                  </w:pPr>
                  <w:r w:rsidRPr="00C91AAE">
                    <w:rPr>
                      <w:rFonts w:cstheme="minorHAnsi"/>
                      <w:b/>
                      <w:bCs/>
                      <w:szCs w:val="24"/>
                    </w:rPr>
                    <w:t>54.16%</w:t>
                  </w:r>
                </w:p>
              </w:tc>
              <w:tc>
                <w:tcPr>
                  <w:tcW w:w="1260" w:type="dxa"/>
                  <w:tcBorders>
                    <w:top w:val="nil"/>
                    <w:left w:val="nil"/>
                    <w:bottom w:val="single" w:sz="4" w:space="0" w:color="auto"/>
                    <w:right w:val="single" w:sz="4" w:space="0" w:color="auto"/>
                  </w:tcBorders>
                  <w:shd w:val="clear" w:color="000000" w:fill="DDD9C4"/>
                  <w:noWrap/>
                  <w:vAlign w:val="bottom"/>
                  <w:hideMark/>
                </w:tcPr>
                <w:p w14:paraId="30BB72EE" w14:textId="77777777" w:rsidR="00C91AAE" w:rsidRPr="00C91AAE" w:rsidRDefault="00C91AAE" w:rsidP="00C91AAE">
                  <w:pPr>
                    <w:rPr>
                      <w:rFonts w:cstheme="minorHAnsi"/>
                      <w:b/>
                      <w:bCs/>
                      <w:szCs w:val="24"/>
                    </w:rPr>
                  </w:pPr>
                  <w:r w:rsidRPr="00C91AAE">
                    <w:rPr>
                      <w:rFonts w:cstheme="minorHAnsi"/>
                      <w:b/>
                      <w:bCs/>
                      <w:szCs w:val="24"/>
                    </w:rPr>
                    <w:t>50.32%</w:t>
                  </w:r>
                </w:p>
              </w:tc>
              <w:tc>
                <w:tcPr>
                  <w:tcW w:w="1141" w:type="dxa"/>
                  <w:tcBorders>
                    <w:top w:val="nil"/>
                    <w:left w:val="nil"/>
                    <w:bottom w:val="single" w:sz="4" w:space="0" w:color="auto"/>
                    <w:right w:val="single" w:sz="4" w:space="0" w:color="auto"/>
                  </w:tcBorders>
                  <w:shd w:val="clear" w:color="000000" w:fill="DDD9C4"/>
                  <w:noWrap/>
                  <w:vAlign w:val="bottom"/>
                  <w:hideMark/>
                </w:tcPr>
                <w:p w14:paraId="2234E96F" w14:textId="77777777" w:rsidR="00C91AAE" w:rsidRPr="00C91AAE" w:rsidRDefault="00C91AAE" w:rsidP="00C91AAE">
                  <w:pPr>
                    <w:rPr>
                      <w:rFonts w:cstheme="minorHAnsi"/>
                      <w:b/>
                      <w:bCs/>
                      <w:szCs w:val="24"/>
                    </w:rPr>
                  </w:pPr>
                  <w:r w:rsidRPr="00C91AAE">
                    <w:rPr>
                      <w:rFonts w:cstheme="minorHAnsi"/>
                      <w:b/>
                      <w:bCs/>
                      <w:szCs w:val="24"/>
                    </w:rPr>
                    <w:t>Declined by 3.84%</w:t>
                  </w:r>
                </w:p>
              </w:tc>
              <w:tc>
                <w:tcPr>
                  <w:tcW w:w="3784" w:type="dxa"/>
                  <w:tcBorders>
                    <w:top w:val="nil"/>
                    <w:left w:val="nil"/>
                    <w:bottom w:val="single" w:sz="4" w:space="0" w:color="auto"/>
                    <w:right w:val="single" w:sz="4" w:space="0" w:color="auto"/>
                  </w:tcBorders>
                  <w:shd w:val="clear" w:color="000000" w:fill="DDD9C4"/>
                  <w:noWrap/>
                  <w:vAlign w:val="bottom"/>
                  <w:hideMark/>
                </w:tcPr>
                <w:p w14:paraId="62EBFA0D" w14:textId="77777777" w:rsidR="00C91AAE" w:rsidRPr="00C91AAE" w:rsidRDefault="00C91AAE" w:rsidP="00C91AAE">
                  <w:pPr>
                    <w:rPr>
                      <w:rFonts w:cstheme="minorHAnsi"/>
                      <w:b/>
                      <w:bCs/>
                      <w:szCs w:val="24"/>
                    </w:rPr>
                  </w:pPr>
                  <w:r w:rsidRPr="00C91AAE">
                    <w:rPr>
                      <w:rFonts w:cstheme="minorHAnsi"/>
                      <w:b/>
                      <w:bCs/>
                      <w:szCs w:val="24"/>
                    </w:rPr>
                    <w:t>Fewer women in top pay quartile – key contributor to overall pay disparity.</w:t>
                  </w:r>
                </w:p>
              </w:tc>
            </w:tr>
          </w:tbl>
          <w:p w14:paraId="0A78ADEE" w14:textId="77777777" w:rsidR="00C91AAE" w:rsidRPr="00C91AAE" w:rsidRDefault="00C91AAE" w:rsidP="00C91AAE">
            <w:pPr>
              <w:rPr>
                <w:rFonts w:cstheme="minorHAnsi"/>
                <w:b/>
                <w:bCs/>
                <w:szCs w:val="24"/>
              </w:rPr>
            </w:pPr>
          </w:p>
          <w:p w14:paraId="0D1EF61B" w14:textId="77777777" w:rsidR="00A1212A" w:rsidRPr="00AE3585" w:rsidRDefault="00A1212A" w:rsidP="00C91AAE">
            <w:pPr>
              <w:pStyle w:val="ListParagraph"/>
              <w:rPr>
                <w:rFonts w:cstheme="minorHAnsi"/>
                <w:szCs w:val="24"/>
              </w:rPr>
            </w:pPr>
          </w:p>
        </w:tc>
      </w:tr>
      <w:tr w:rsidR="00BE3154" w:rsidRPr="009225EE" w14:paraId="6D0F828D" w14:textId="77777777" w:rsidTr="00C91AAE">
        <w:tc>
          <w:tcPr>
            <w:tcW w:w="10064" w:type="dxa"/>
            <w:gridSpan w:val="8"/>
            <w:tcBorders>
              <w:top w:val="single" w:sz="4" w:space="0" w:color="auto"/>
              <w:left w:val="single" w:sz="4" w:space="0" w:color="auto"/>
              <w:bottom w:val="single" w:sz="4" w:space="0" w:color="auto"/>
              <w:right w:val="single" w:sz="4" w:space="0" w:color="auto"/>
            </w:tcBorders>
          </w:tcPr>
          <w:p w14:paraId="1A5FECE3" w14:textId="77777777" w:rsidR="00BE3154" w:rsidRPr="00C91AAE" w:rsidRDefault="00BE3154" w:rsidP="00C91AAE">
            <w:pPr>
              <w:rPr>
                <w:rFonts w:cstheme="minorHAnsi"/>
                <w:b/>
                <w:bCs/>
                <w:szCs w:val="24"/>
              </w:rPr>
            </w:pPr>
          </w:p>
        </w:tc>
      </w:tr>
      <w:tr w:rsidR="00E34EBF" w:rsidRPr="009225EE" w14:paraId="3BE97322" w14:textId="77777777" w:rsidTr="00C91AAE">
        <w:tc>
          <w:tcPr>
            <w:tcW w:w="10064" w:type="dxa"/>
            <w:gridSpan w:val="8"/>
            <w:tcBorders>
              <w:top w:val="single" w:sz="4" w:space="0" w:color="auto"/>
              <w:left w:val="single" w:sz="4" w:space="0" w:color="auto"/>
              <w:bottom w:val="single" w:sz="4" w:space="0" w:color="auto"/>
              <w:right w:val="single" w:sz="4" w:space="0" w:color="auto"/>
            </w:tcBorders>
          </w:tcPr>
          <w:p w14:paraId="1DCAF554" w14:textId="77777777" w:rsidR="00D25DEE" w:rsidRDefault="00ED38A0" w:rsidP="00D25DEE">
            <w:pPr>
              <w:spacing w:after="120" w:line="240" w:lineRule="auto"/>
              <w:rPr>
                <w:rFonts w:cs="Arial"/>
                <w:b/>
              </w:rPr>
            </w:pPr>
            <w:r w:rsidRPr="00ED38A0">
              <w:rPr>
                <w:rFonts w:cs="Arial"/>
                <w:b/>
              </w:rPr>
              <w:t>Quality implications</w:t>
            </w:r>
          </w:p>
          <w:p w14:paraId="2DFB2691" w14:textId="419144CB" w:rsidR="000552E0" w:rsidRPr="000552E0" w:rsidRDefault="000552E0" w:rsidP="000552E0">
            <w:pPr>
              <w:spacing w:after="120"/>
              <w:rPr>
                <w:rFonts w:cs="Arial"/>
                <w:bCs/>
              </w:rPr>
            </w:pPr>
            <w:r w:rsidRPr="000552E0">
              <w:rPr>
                <w:rFonts w:cs="Arial"/>
                <w:bCs/>
              </w:rPr>
              <w:t>There is an evidenced correlation between staff experience and patient experience.  A focus on improving staff experience, particularly for our staff with protected characteristics, will therefor</w:t>
            </w:r>
            <w:r>
              <w:rPr>
                <w:rFonts w:cs="Arial"/>
                <w:bCs/>
              </w:rPr>
              <w:t>e</w:t>
            </w:r>
            <w:r w:rsidRPr="000552E0">
              <w:rPr>
                <w:rFonts w:cs="Arial"/>
                <w:bCs/>
              </w:rPr>
              <w:t xml:space="preserve"> have a positive impact on patient experience and the quality of the services we provide. It will support the recruitment and retention of quality staff. </w:t>
            </w:r>
          </w:p>
          <w:p w14:paraId="0E3254BC" w14:textId="77777777" w:rsidR="00ED38A0" w:rsidRPr="00D25DEE" w:rsidRDefault="00ED38A0" w:rsidP="00A1212A">
            <w:pPr>
              <w:spacing w:after="120"/>
              <w:rPr>
                <w:rFonts w:cs="Arial"/>
                <w:b/>
              </w:rPr>
            </w:pPr>
          </w:p>
        </w:tc>
      </w:tr>
      <w:tr w:rsidR="00FF2BED" w:rsidRPr="009225EE" w14:paraId="7FFD1808" w14:textId="77777777" w:rsidTr="00C91AAE">
        <w:tc>
          <w:tcPr>
            <w:tcW w:w="10064" w:type="dxa"/>
            <w:gridSpan w:val="8"/>
            <w:tcBorders>
              <w:top w:val="single" w:sz="4" w:space="0" w:color="auto"/>
              <w:left w:val="single" w:sz="4" w:space="0" w:color="auto"/>
              <w:bottom w:val="single" w:sz="4" w:space="0" w:color="auto"/>
              <w:right w:val="single" w:sz="4" w:space="0" w:color="auto"/>
            </w:tcBorders>
          </w:tcPr>
          <w:p w14:paraId="05F2BA18" w14:textId="77777777" w:rsidR="00FF2BED" w:rsidRDefault="00ED38A0" w:rsidP="007C628B">
            <w:pPr>
              <w:spacing w:after="120" w:line="240" w:lineRule="auto"/>
              <w:rPr>
                <w:rFonts w:cs="Arial"/>
                <w:b/>
              </w:rPr>
            </w:pPr>
            <w:r>
              <w:rPr>
                <w:rFonts w:cs="Arial"/>
                <w:b/>
              </w:rPr>
              <w:t>Financial implications</w:t>
            </w:r>
          </w:p>
          <w:p w14:paraId="0F9A670B" w14:textId="748059F8" w:rsidR="004A61F8" w:rsidRDefault="004A61F8" w:rsidP="007C628B">
            <w:pPr>
              <w:spacing w:after="120" w:line="240" w:lineRule="auto"/>
              <w:rPr>
                <w:rFonts w:cs="Arial"/>
                <w:b/>
              </w:rPr>
            </w:pPr>
            <w:r>
              <w:t>A lack of equal opportunities for people in protected characteristic groups and increased levels of harassment are proven to significantly increase sickness absence, presenteeism, and staff turnover.</w:t>
            </w:r>
          </w:p>
          <w:p w14:paraId="4BD9DCEC" w14:textId="77777777" w:rsidR="00685CB2" w:rsidRPr="00D25DEE" w:rsidRDefault="00685CB2" w:rsidP="007C628B">
            <w:pPr>
              <w:spacing w:after="120" w:line="240" w:lineRule="auto"/>
              <w:rPr>
                <w:rFonts w:cs="Arial"/>
              </w:rPr>
            </w:pPr>
          </w:p>
        </w:tc>
      </w:tr>
      <w:tr w:rsidR="00FF2BED" w:rsidRPr="009225EE" w14:paraId="542A863F" w14:textId="77777777" w:rsidTr="00C91AAE">
        <w:tc>
          <w:tcPr>
            <w:tcW w:w="10064" w:type="dxa"/>
            <w:gridSpan w:val="8"/>
            <w:tcBorders>
              <w:top w:val="single" w:sz="4" w:space="0" w:color="auto"/>
              <w:left w:val="single" w:sz="4" w:space="0" w:color="auto"/>
              <w:bottom w:val="single" w:sz="4" w:space="0" w:color="auto"/>
              <w:right w:val="single" w:sz="4" w:space="0" w:color="auto"/>
            </w:tcBorders>
          </w:tcPr>
          <w:p w14:paraId="2B8FE3FE" w14:textId="77777777" w:rsidR="00FF2BED" w:rsidRDefault="00ED38A0" w:rsidP="00685CB2">
            <w:pPr>
              <w:spacing w:after="0" w:line="240" w:lineRule="auto"/>
              <w:rPr>
                <w:rFonts w:cs="Arial"/>
                <w:b/>
              </w:rPr>
            </w:pPr>
            <w:r>
              <w:rPr>
                <w:rFonts w:cs="Arial"/>
                <w:b/>
              </w:rPr>
              <w:t>Risk implications</w:t>
            </w:r>
          </w:p>
          <w:p w14:paraId="4A2A4F21" w14:textId="23439934" w:rsidR="00ED38A0" w:rsidRPr="00ED38A0" w:rsidRDefault="000552E0" w:rsidP="00A1212A">
            <w:pPr>
              <w:spacing w:before="240" w:after="120"/>
              <w:rPr>
                <w:rFonts w:cs="Arial"/>
              </w:rPr>
            </w:pPr>
            <w:r w:rsidRPr="000552E0">
              <w:rPr>
                <w:rFonts w:cs="Arial"/>
              </w:rPr>
              <w:t xml:space="preserve">There is a risk that the </w:t>
            </w:r>
            <w:r w:rsidR="00B00C1A">
              <w:rPr>
                <w:rFonts w:cs="Arial"/>
              </w:rPr>
              <w:t>t</w:t>
            </w:r>
            <w:r w:rsidRPr="000552E0">
              <w:rPr>
                <w:rFonts w:cs="Arial"/>
              </w:rPr>
              <w:t>rust will not</w:t>
            </w:r>
            <w:r>
              <w:rPr>
                <w:rFonts w:cs="Arial"/>
              </w:rPr>
              <w:t xml:space="preserve"> successfully </w:t>
            </w:r>
            <w:r w:rsidRPr="000552E0">
              <w:rPr>
                <w:rFonts w:cs="Arial"/>
              </w:rPr>
              <w:t>deliver</w:t>
            </w:r>
            <w:r>
              <w:rPr>
                <w:rFonts w:cs="Arial"/>
              </w:rPr>
              <w:t xml:space="preserve"> the EDI programme and the </w:t>
            </w:r>
            <w:r w:rsidR="00C05A32">
              <w:rPr>
                <w:rFonts w:cs="Arial"/>
              </w:rPr>
              <w:t>new EDI vision d</w:t>
            </w:r>
            <w:r w:rsidRPr="000552E0">
              <w:rPr>
                <w:rFonts w:cs="Arial"/>
              </w:rPr>
              <w:t xml:space="preserve">ue to </w:t>
            </w:r>
            <w:r w:rsidR="00C05A32">
              <w:rPr>
                <w:rFonts w:cs="Arial"/>
              </w:rPr>
              <w:t xml:space="preserve">the significant resource requirements </w:t>
            </w:r>
            <w:r w:rsidRPr="000552E0">
              <w:rPr>
                <w:rFonts w:cs="Arial"/>
              </w:rPr>
              <w:t xml:space="preserve">to address </w:t>
            </w:r>
            <w:r w:rsidR="00C05A32">
              <w:rPr>
                <w:rFonts w:cs="Arial"/>
              </w:rPr>
              <w:t xml:space="preserve">deep-rooted EDI issues and </w:t>
            </w:r>
            <w:r w:rsidRPr="000552E0">
              <w:rPr>
                <w:rFonts w:cs="Arial"/>
              </w:rPr>
              <w:t>multiple workstreams.</w:t>
            </w:r>
            <w:r w:rsidR="00C05A32">
              <w:rPr>
                <w:rFonts w:cs="Arial"/>
              </w:rPr>
              <w:t xml:space="preserve"> This risk has been mitigated through the EDI programme resource requirements business case which has been approved by BCRG. </w:t>
            </w:r>
          </w:p>
        </w:tc>
      </w:tr>
      <w:tr w:rsidR="00FF2BED" w:rsidRPr="009225EE" w14:paraId="6D5659D0" w14:textId="77777777" w:rsidTr="00C91AAE">
        <w:tc>
          <w:tcPr>
            <w:tcW w:w="10064" w:type="dxa"/>
            <w:gridSpan w:val="8"/>
            <w:tcBorders>
              <w:top w:val="single" w:sz="4" w:space="0" w:color="auto"/>
              <w:left w:val="single" w:sz="4" w:space="0" w:color="auto"/>
              <w:bottom w:val="single" w:sz="4" w:space="0" w:color="auto"/>
              <w:right w:val="single" w:sz="4" w:space="0" w:color="auto"/>
            </w:tcBorders>
          </w:tcPr>
          <w:p w14:paraId="7E6CEFE1" w14:textId="77777777" w:rsidR="00ED38A0" w:rsidRPr="00900418" w:rsidRDefault="00ED38A0" w:rsidP="00ED38A0">
            <w:pPr>
              <w:spacing w:after="120" w:line="240" w:lineRule="auto"/>
              <w:rPr>
                <w:rFonts w:cs="Arial"/>
                <w:b/>
              </w:rPr>
            </w:pPr>
            <w:r w:rsidRPr="00900418">
              <w:rPr>
                <w:rFonts w:cs="Arial"/>
                <w:b/>
              </w:rPr>
              <w:t xml:space="preserve">Action required/recommendation. </w:t>
            </w:r>
          </w:p>
          <w:p w14:paraId="343B9881" w14:textId="019647CB" w:rsidR="00A929FA" w:rsidRPr="00AE3585" w:rsidRDefault="0006705D" w:rsidP="00B00C1A">
            <w:pPr>
              <w:jc w:val="both"/>
              <w:rPr>
                <w:rFonts w:cstheme="minorHAnsi"/>
                <w:szCs w:val="24"/>
              </w:rPr>
            </w:pPr>
            <w:r>
              <w:rPr>
                <w:rFonts w:ascii="Calibri" w:hAnsi="Calibri" w:cs="Calibri"/>
              </w:rPr>
              <w:t xml:space="preserve">The </w:t>
            </w:r>
            <w:r w:rsidR="00F26D29">
              <w:rPr>
                <w:rFonts w:ascii="Calibri" w:hAnsi="Calibri" w:cs="Calibri"/>
              </w:rPr>
              <w:t>People and Culture Committee</w:t>
            </w:r>
            <w:r w:rsidRPr="001220A7">
              <w:rPr>
                <w:rFonts w:ascii="Calibri" w:hAnsi="Calibri" w:cs="Calibri"/>
              </w:rPr>
              <w:t xml:space="preserve"> </w:t>
            </w:r>
            <w:r>
              <w:rPr>
                <w:rFonts w:ascii="Calibri" w:hAnsi="Calibri" w:cs="Calibri"/>
              </w:rPr>
              <w:t>is</w:t>
            </w:r>
            <w:r w:rsidRPr="001220A7">
              <w:rPr>
                <w:rFonts w:ascii="Calibri" w:hAnsi="Calibri" w:cs="Calibri"/>
              </w:rPr>
              <w:t xml:space="preserve"> asked to </w:t>
            </w:r>
            <w:r>
              <w:rPr>
                <w:rFonts w:ascii="Calibri" w:hAnsi="Calibri" w:cs="Calibri"/>
              </w:rPr>
              <w:t xml:space="preserve">note </w:t>
            </w:r>
            <w:r w:rsidR="00EE2C24">
              <w:rPr>
                <w:rFonts w:ascii="Calibri" w:hAnsi="Calibri" w:cs="Calibri"/>
              </w:rPr>
              <w:t xml:space="preserve">for assurance </w:t>
            </w:r>
            <w:r w:rsidR="00B00C1A">
              <w:rPr>
                <w:rFonts w:ascii="Calibri" w:hAnsi="Calibri" w:cs="Calibri"/>
              </w:rPr>
              <w:t xml:space="preserve">and </w:t>
            </w:r>
            <w:r w:rsidR="00EE2C24">
              <w:rPr>
                <w:rFonts w:ascii="Calibri" w:hAnsi="Calibri" w:cs="Calibri"/>
              </w:rPr>
              <w:t xml:space="preserve">approve </w:t>
            </w:r>
            <w:r w:rsidRPr="001220A7">
              <w:rPr>
                <w:rFonts w:ascii="Calibri" w:hAnsi="Calibri" w:cs="Calibri"/>
              </w:rPr>
              <w:t>the</w:t>
            </w:r>
            <w:r w:rsidR="00B00C1A">
              <w:rPr>
                <w:rFonts w:ascii="Calibri" w:hAnsi="Calibri" w:cs="Calibri"/>
              </w:rPr>
              <w:t xml:space="preserve"> </w:t>
            </w:r>
            <w:r w:rsidR="00C91AAE">
              <w:rPr>
                <w:rFonts w:ascii="Calibri" w:hAnsi="Calibri" w:cs="Calibri"/>
              </w:rPr>
              <w:t>2024 Gender Pay Gap Report</w:t>
            </w:r>
            <w:r w:rsidR="00EE2C24">
              <w:rPr>
                <w:rFonts w:ascii="Calibri" w:hAnsi="Calibri" w:cs="Calibri"/>
              </w:rPr>
              <w:t>.</w:t>
            </w:r>
            <w:r w:rsidR="00B00C1A">
              <w:rPr>
                <w:rFonts w:ascii="Calibri" w:hAnsi="Calibri" w:cs="Calibri"/>
              </w:rPr>
              <w:t xml:space="preserve"> </w:t>
            </w:r>
          </w:p>
        </w:tc>
      </w:tr>
      <w:tr w:rsidR="00A11F9C" w:rsidRPr="00922744" w14:paraId="4FBDBC88" w14:textId="77777777" w:rsidTr="00C91AAE">
        <w:tc>
          <w:tcPr>
            <w:tcW w:w="2090" w:type="dxa"/>
            <w:tcBorders>
              <w:top w:val="single" w:sz="4" w:space="0" w:color="auto"/>
              <w:left w:val="single" w:sz="4" w:space="0" w:color="auto"/>
              <w:bottom w:val="single" w:sz="4" w:space="0" w:color="auto"/>
              <w:right w:val="single" w:sz="4" w:space="0" w:color="auto"/>
            </w:tcBorders>
            <w:vAlign w:val="center"/>
          </w:tcPr>
          <w:p w14:paraId="24C06F4F" w14:textId="77777777" w:rsidR="00A11F9C" w:rsidRPr="00922744" w:rsidRDefault="00A11F9C" w:rsidP="00A11F9C">
            <w:pPr>
              <w:spacing w:before="120" w:after="120" w:line="240" w:lineRule="auto"/>
              <w:jc w:val="right"/>
              <w:rPr>
                <w:rFonts w:cs="Arial"/>
                <w:b/>
              </w:rPr>
            </w:pPr>
            <w:r w:rsidRPr="00922744">
              <w:rPr>
                <w:rFonts w:cs="Arial"/>
                <w:b/>
              </w:rPr>
              <w:t>For assurance</w:t>
            </w:r>
          </w:p>
        </w:tc>
        <w:tc>
          <w:tcPr>
            <w:tcW w:w="333" w:type="dxa"/>
            <w:tcBorders>
              <w:top w:val="single" w:sz="4" w:space="0" w:color="auto"/>
              <w:left w:val="single" w:sz="4" w:space="0" w:color="auto"/>
              <w:bottom w:val="single" w:sz="4" w:space="0" w:color="auto"/>
              <w:right w:val="single" w:sz="4" w:space="0" w:color="auto"/>
            </w:tcBorders>
            <w:vAlign w:val="center"/>
          </w:tcPr>
          <w:p w14:paraId="057AEF29" w14:textId="784BBB74" w:rsidR="00A11F9C" w:rsidRPr="00922744" w:rsidRDefault="00EE2C24" w:rsidP="00A11F9C">
            <w:pPr>
              <w:spacing w:before="120" w:after="120" w:line="240" w:lineRule="auto"/>
              <w:jc w:val="right"/>
              <w:rPr>
                <w:rFonts w:cs="Arial"/>
                <w:b/>
              </w:rPr>
            </w:pPr>
            <w:r w:rsidRPr="00922744">
              <w:rPr>
                <w:rFonts w:cs="Arial"/>
                <w:b/>
              </w:rPr>
              <w:sym w:font="Wingdings" w:char="F0FC"/>
            </w:r>
          </w:p>
        </w:tc>
        <w:tc>
          <w:tcPr>
            <w:tcW w:w="2033" w:type="dxa"/>
            <w:tcBorders>
              <w:top w:val="single" w:sz="4" w:space="0" w:color="auto"/>
              <w:left w:val="single" w:sz="4" w:space="0" w:color="auto"/>
              <w:bottom w:val="single" w:sz="4" w:space="0" w:color="auto"/>
              <w:right w:val="single" w:sz="4" w:space="0" w:color="auto"/>
            </w:tcBorders>
            <w:vAlign w:val="center"/>
          </w:tcPr>
          <w:p w14:paraId="5835B9FB" w14:textId="77777777" w:rsidR="00A11F9C" w:rsidRPr="00922744" w:rsidRDefault="00A11F9C" w:rsidP="00A11F9C">
            <w:pPr>
              <w:spacing w:before="120" w:after="120" w:line="240" w:lineRule="auto"/>
              <w:jc w:val="right"/>
              <w:rPr>
                <w:rFonts w:cs="Arial"/>
                <w:b/>
              </w:rPr>
            </w:pPr>
            <w:r w:rsidRPr="00922744">
              <w:rPr>
                <w:rFonts w:cs="Arial"/>
                <w:b/>
              </w:rPr>
              <w:t>For decision</w:t>
            </w:r>
          </w:p>
        </w:tc>
        <w:tc>
          <w:tcPr>
            <w:tcW w:w="336" w:type="dxa"/>
            <w:tcBorders>
              <w:top w:val="single" w:sz="4" w:space="0" w:color="auto"/>
              <w:left w:val="single" w:sz="4" w:space="0" w:color="auto"/>
              <w:bottom w:val="single" w:sz="4" w:space="0" w:color="auto"/>
              <w:right w:val="single" w:sz="4" w:space="0" w:color="auto"/>
            </w:tcBorders>
            <w:vAlign w:val="center"/>
          </w:tcPr>
          <w:p w14:paraId="202CB3F8" w14:textId="5345D6E9" w:rsidR="00A11F9C" w:rsidRPr="00922744" w:rsidRDefault="00A11F9C" w:rsidP="00A11F9C">
            <w:pPr>
              <w:spacing w:before="120" w:after="120" w:line="240" w:lineRule="auto"/>
              <w:jc w:val="right"/>
              <w:rPr>
                <w:rFonts w:cs="Arial"/>
                <w:b/>
              </w:rPr>
            </w:pPr>
            <w:r w:rsidRPr="00922744">
              <w:rPr>
                <w:rFonts w:cs="Arial"/>
                <w:b/>
              </w:rPr>
              <w:sym w:font="Wingdings" w:char="F0FC"/>
            </w:r>
          </w:p>
        </w:tc>
        <w:tc>
          <w:tcPr>
            <w:tcW w:w="1988" w:type="dxa"/>
            <w:tcBorders>
              <w:top w:val="single" w:sz="4" w:space="0" w:color="auto"/>
              <w:left w:val="single" w:sz="4" w:space="0" w:color="auto"/>
              <w:bottom w:val="single" w:sz="4" w:space="0" w:color="auto"/>
              <w:right w:val="single" w:sz="4" w:space="0" w:color="auto"/>
            </w:tcBorders>
            <w:vAlign w:val="center"/>
          </w:tcPr>
          <w:p w14:paraId="6E00E624" w14:textId="77777777" w:rsidR="00A11F9C" w:rsidRPr="00922744" w:rsidRDefault="00A11F9C" w:rsidP="00A11F9C">
            <w:pPr>
              <w:spacing w:before="120" w:after="120" w:line="240" w:lineRule="auto"/>
              <w:jc w:val="right"/>
              <w:rPr>
                <w:rFonts w:cs="Arial"/>
                <w:b/>
              </w:rPr>
            </w:pPr>
            <w:r w:rsidRPr="00922744">
              <w:rPr>
                <w:rFonts w:cs="Arial"/>
                <w:b/>
              </w:rPr>
              <w:t>For discussion</w:t>
            </w:r>
          </w:p>
        </w:tc>
        <w:tc>
          <w:tcPr>
            <w:tcW w:w="389" w:type="dxa"/>
            <w:tcBorders>
              <w:top w:val="single" w:sz="4" w:space="0" w:color="auto"/>
              <w:left w:val="single" w:sz="4" w:space="0" w:color="auto"/>
              <w:bottom w:val="single" w:sz="4" w:space="0" w:color="auto"/>
              <w:right w:val="single" w:sz="4" w:space="0" w:color="auto"/>
            </w:tcBorders>
            <w:vAlign w:val="center"/>
          </w:tcPr>
          <w:p w14:paraId="3389E3FF" w14:textId="77777777" w:rsidR="00A11F9C" w:rsidRPr="00922744" w:rsidRDefault="00A11F9C" w:rsidP="00A11F9C">
            <w:pPr>
              <w:spacing w:before="120" w:after="120" w:line="240" w:lineRule="auto"/>
              <w:jc w:val="right"/>
              <w:rPr>
                <w:rFonts w:cs="Arial"/>
                <w:b/>
              </w:rPr>
            </w:pPr>
            <w:r w:rsidRPr="00922744">
              <w:rPr>
                <w:rFonts w:cs="Arial"/>
                <w:b/>
              </w:rPr>
              <w:sym w:font="Wingdings" w:char="F0FC"/>
            </w:r>
          </w:p>
        </w:tc>
        <w:tc>
          <w:tcPr>
            <w:tcW w:w="2204" w:type="dxa"/>
            <w:tcBorders>
              <w:top w:val="single" w:sz="4" w:space="0" w:color="auto"/>
              <w:left w:val="single" w:sz="4" w:space="0" w:color="auto"/>
              <w:bottom w:val="single" w:sz="4" w:space="0" w:color="auto"/>
              <w:right w:val="single" w:sz="4" w:space="0" w:color="auto"/>
            </w:tcBorders>
            <w:vAlign w:val="center"/>
          </w:tcPr>
          <w:p w14:paraId="4BFC7D49" w14:textId="77777777" w:rsidR="00A11F9C" w:rsidRPr="00922744" w:rsidRDefault="00A11F9C" w:rsidP="00A11F9C">
            <w:pPr>
              <w:spacing w:before="120" w:after="120" w:line="240" w:lineRule="auto"/>
              <w:jc w:val="right"/>
              <w:rPr>
                <w:rFonts w:cs="Arial"/>
                <w:b/>
              </w:rPr>
            </w:pPr>
            <w:r w:rsidRPr="00922744">
              <w:rPr>
                <w:rFonts w:cs="Arial"/>
                <w:b/>
              </w:rPr>
              <w:t>To note</w:t>
            </w:r>
          </w:p>
        </w:tc>
        <w:tc>
          <w:tcPr>
            <w:tcW w:w="691" w:type="dxa"/>
            <w:tcBorders>
              <w:top w:val="single" w:sz="4" w:space="0" w:color="auto"/>
              <w:left w:val="single" w:sz="4" w:space="0" w:color="auto"/>
              <w:bottom w:val="single" w:sz="4" w:space="0" w:color="auto"/>
              <w:right w:val="single" w:sz="4" w:space="0" w:color="auto"/>
            </w:tcBorders>
            <w:vAlign w:val="center"/>
          </w:tcPr>
          <w:p w14:paraId="305F3695" w14:textId="52CB0C21" w:rsidR="00A11F9C" w:rsidRPr="00922744" w:rsidRDefault="00A11F9C" w:rsidP="00A11F9C">
            <w:pPr>
              <w:spacing w:before="120" w:after="120" w:line="240" w:lineRule="auto"/>
              <w:rPr>
                <w:rFonts w:cs="Arial"/>
                <w:b/>
              </w:rPr>
            </w:pPr>
          </w:p>
        </w:tc>
      </w:tr>
    </w:tbl>
    <w:p w14:paraId="3CF69568" w14:textId="77777777" w:rsidR="008A54A3" w:rsidRPr="005B0DEC" w:rsidRDefault="008A54A3" w:rsidP="005B0DEC">
      <w:pPr>
        <w:rPr>
          <w:rFonts w:cstheme="minorHAnsi"/>
        </w:rPr>
      </w:pPr>
    </w:p>
    <w:sectPr w:rsidR="008A54A3" w:rsidRPr="005B0DEC" w:rsidSect="007736E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F074D" w14:textId="77777777" w:rsidR="007736E2" w:rsidRDefault="007736E2" w:rsidP="001164DD">
      <w:pPr>
        <w:spacing w:after="0" w:line="240" w:lineRule="auto"/>
      </w:pPr>
      <w:r>
        <w:separator/>
      </w:r>
    </w:p>
  </w:endnote>
  <w:endnote w:type="continuationSeparator" w:id="0">
    <w:p w14:paraId="1A6C7057" w14:textId="77777777" w:rsidR="007736E2" w:rsidRDefault="007736E2" w:rsidP="0011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B03CA" w14:textId="77777777" w:rsidR="007736E2" w:rsidRDefault="007736E2" w:rsidP="001164DD">
      <w:pPr>
        <w:spacing w:after="0" w:line="240" w:lineRule="auto"/>
      </w:pPr>
      <w:r>
        <w:separator/>
      </w:r>
    </w:p>
  </w:footnote>
  <w:footnote w:type="continuationSeparator" w:id="0">
    <w:p w14:paraId="17EBC046" w14:textId="77777777" w:rsidR="007736E2" w:rsidRDefault="007736E2" w:rsidP="00116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3395D"/>
    <w:multiLevelType w:val="hybridMultilevel"/>
    <w:tmpl w:val="C8F6F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7B0C3F"/>
    <w:multiLevelType w:val="hybridMultilevel"/>
    <w:tmpl w:val="041E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11B49"/>
    <w:multiLevelType w:val="hybridMultilevel"/>
    <w:tmpl w:val="D51C4B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DE35B0"/>
    <w:multiLevelType w:val="multilevel"/>
    <w:tmpl w:val="DC76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C68B6"/>
    <w:multiLevelType w:val="hybridMultilevel"/>
    <w:tmpl w:val="A372F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7B1404"/>
    <w:multiLevelType w:val="hybridMultilevel"/>
    <w:tmpl w:val="63D8B750"/>
    <w:lvl w:ilvl="0" w:tplc="C2666782">
      <w:start w:val="1"/>
      <w:numFmt w:val="bullet"/>
      <w:pStyle w:val="Bullet"/>
      <w:lvlText w:val="•"/>
      <w:lvlJc w:val="left"/>
      <w:pPr>
        <w:ind w:left="360" w:hanging="360"/>
      </w:pPr>
      <w:rPr>
        <w:rFonts w:ascii="Arial" w:hAnsi="Arial" w:hint="default"/>
        <w:color w:val="F79646" w:themeColor="accent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2D26FD"/>
    <w:multiLevelType w:val="hybridMultilevel"/>
    <w:tmpl w:val="1EC0F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5B5B70"/>
    <w:multiLevelType w:val="multilevel"/>
    <w:tmpl w:val="38E2BE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2D0977"/>
    <w:multiLevelType w:val="multilevel"/>
    <w:tmpl w:val="72823E28"/>
    <w:lvl w:ilvl="0">
      <w:start w:val="1"/>
      <w:numFmt w:val="bullet"/>
      <w:lvlText w:val=""/>
      <w:lvlJc w:val="left"/>
      <w:pPr>
        <w:tabs>
          <w:tab w:val="num" w:pos="720"/>
        </w:tabs>
        <w:ind w:left="720" w:hanging="360"/>
      </w:pPr>
      <w:rPr>
        <w:rFonts w:ascii="Symbol" w:hAnsi="Symbol" w:hint="default"/>
        <w:sz w:val="20"/>
      </w:rPr>
    </w:lvl>
    <w:lvl w:ilvl="1">
      <w:start w:val="17"/>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4720FD"/>
    <w:multiLevelType w:val="multilevel"/>
    <w:tmpl w:val="7C8A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D209BE"/>
    <w:multiLevelType w:val="hybridMultilevel"/>
    <w:tmpl w:val="A07081F4"/>
    <w:lvl w:ilvl="0" w:tplc="EE804D7C">
      <w:start w:val="1"/>
      <w:numFmt w:val="decimal"/>
      <w:pStyle w:val="Heading1"/>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D2F6C3D"/>
    <w:multiLevelType w:val="hybridMultilevel"/>
    <w:tmpl w:val="7D4671C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C417C7"/>
    <w:multiLevelType w:val="hybridMultilevel"/>
    <w:tmpl w:val="AB6CD5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350874"/>
    <w:multiLevelType w:val="hybridMultilevel"/>
    <w:tmpl w:val="D4CAD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464F2B"/>
    <w:multiLevelType w:val="hybridMultilevel"/>
    <w:tmpl w:val="FB94F10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0E6B13"/>
    <w:multiLevelType w:val="multilevel"/>
    <w:tmpl w:val="EBE8D038"/>
    <w:lvl w:ilvl="0">
      <w:start w:val="1"/>
      <w:numFmt w:val="decimal"/>
      <w:lvlText w:val="%1."/>
      <w:lvlJc w:val="left"/>
      <w:pPr>
        <w:ind w:left="360" w:hanging="360"/>
      </w:pPr>
      <w:rPr>
        <w:rFonts w:asciiTheme="minorHAnsi" w:eastAsia="Arial" w:hAnsiTheme="minorHAnsi" w:cstheme="minorHAnsi" w:hint="default"/>
        <w:b/>
        <w:bCs/>
        <w:i w:val="0"/>
        <w:iCs w:val="0"/>
        <w:spacing w:val="0"/>
        <w:w w:val="93"/>
        <w:sz w:val="22"/>
        <w:szCs w:val="22"/>
        <w:lang w:val="en-US" w:eastAsia="en-US" w:bidi="ar-SA"/>
      </w:rPr>
    </w:lvl>
    <w:lvl w:ilvl="1">
      <w:start w:val="1"/>
      <w:numFmt w:val="decimal"/>
      <w:lvlText w:val="%1.%2."/>
      <w:lvlJc w:val="left"/>
      <w:pPr>
        <w:ind w:left="474" w:hanging="432"/>
      </w:pPr>
      <w:rPr>
        <w:rFonts w:asciiTheme="minorHAnsi" w:eastAsia="Arial" w:hAnsiTheme="minorHAnsi" w:cstheme="minorHAnsi" w:hint="default"/>
        <w:b w:val="0"/>
        <w:bCs w:val="0"/>
        <w:i w:val="0"/>
        <w:iCs w:val="0"/>
        <w:spacing w:val="-1"/>
        <w:w w:val="91"/>
        <w:sz w:val="22"/>
        <w:szCs w:val="22"/>
        <w:lang w:val="en-US" w:eastAsia="en-US" w:bidi="ar-SA"/>
      </w:rPr>
    </w:lvl>
    <w:lvl w:ilvl="2">
      <w:numFmt w:val="bullet"/>
      <w:lvlText w:val="•"/>
      <w:lvlJc w:val="left"/>
      <w:pPr>
        <w:ind w:left="1080" w:hanging="360"/>
      </w:pPr>
      <w:rPr>
        <w:rFonts w:ascii="Arial" w:eastAsia="Arial" w:hAnsi="Arial" w:cs="Arial" w:hint="default"/>
        <w:b w:val="0"/>
        <w:bCs w:val="0"/>
        <w:i w:val="0"/>
        <w:iCs w:val="0"/>
        <w:spacing w:val="0"/>
        <w:w w:val="131"/>
        <w:sz w:val="22"/>
        <w:szCs w:val="22"/>
        <w:lang w:val="en-US" w:eastAsia="en-US" w:bidi="ar-SA"/>
      </w:rPr>
    </w:lvl>
    <w:lvl w:ilvl="3">
      <w:numFmt w:val="bullet"/>
      <w:lvlText w:val="•"/>
      <w:lvlJc w:val="left"/>
      <w:pPr>
        <w:ind w:left="2185" w:hanging="360"/>
      </w:pPr>
      <w:rPr>
        <w:rFonts w:hint="default"/>
        <w:lang w:val="en-US" w:eastAsia="en-US" w:bidi="ar-SA"/>
      </w:rPr>
    </w:lvl>
    <w:lvl w:ilvl="4">
      <w:numFmt w:val="bullet"/>
      <w:lvlText w:val="•"/>
      <w:lvlJc w:val="left"/>
      <w:pPr>
        <w:ind w:left="3291" w:hanging="360"/>
      </w:pPr>
      <w:rPr>
        <w:rFonts w:hint="default"/>
        <w:lang w:val="en-US" w:eastAsia="en-US" w:bidi="ar-SA"/>
      </w:rPr>
    </w:lvl>
    <w:lvl w:ilvl="5">
      <w:numFmt w:val="bullet"/>
      <w:lvlText w:val="•"/>
      <w:lvlJc w:val="left"/>
      <w:pPr>
        <w:ind w:left="4397" w:hanging="360"/>
      </w:pPr>
      <w:rPr>
        <w:rFonts w:hint="default"/>
        <w:lang w:val="en-US" w:eastAsia="en-US" w:bidi="ar-SA"/>
      </w:rPr>
    </w:lvl>
    <w:lvl w:ilvl="6">
      <w:numFmt w:val="bullet"/>
      <w:lvlText w:val="•"/>
      <w:lvlJc w:val="left"/>
      <w:pPr>
        <w:ind w:left="5503" w:hanging="360"/>
      </w:pPr>
      <w:rPr>
        <w:rFonts w:hint="default"/>
        <w:lang w:val="en-US" w:eastAsia="en-US" w:bidi="ar-SA"/>
      </w:rPr>
    </w:lvl>
    <w:lvl w:ilvl="7">
      <w:numFmt w:val="bullet"/>
      <w:lvlText w:val="•"/>
      <w:lvlJc w:val="left"/>
      <w:pPr>
        <w:ind w:left="6609" w:hanging="360"/>
      </w:pPr>
      <w:rPr>
        <w:rFonts w:hint="default"/>
        <w:lang w:val="en-US" w:eastAsia="en-US" w:bidi="ar-SA"/>
      </w:rPr>
    </w:lvl>
    <w:lvl w:ilvl="8">
      <w:numFmt w:val="bullet"/>
      <w:lvlText w:val="•"/>
      <w:lvlJc w:val="left"/>
      <w:pPr>
        <w:ind w:left="7714" w:hanging="360"/>
      </w:pPr>
      <w:rPr>
        <w:rFonts w:hint="default"/>
        <w:lang w:val="en-US" w:eastAsia="en-US" w:bidi="ar-SA"/>
      </w:rPr>
    </w:lvl>
  </w:abstractNum>
  <w:abstractNum w:abstractNumId="16" w15:restartNumberingAfterBreak="0">
    <w:nsid w:val="6258187A"/>
    <w:multiLevelType w:val="multilevel"/>
    <w:tmpl w:val="E502208C"/>
    <w:lvl w:ilvl="0">
      <w:start w:val="1"/>
      <w:numFmt w:val="decimal"/>
      <w:lvlText w:val="%1."/>
      <w:lvlJc w:val="left"/>
      <w:pPr>
        <w:ind w:left="460" w:hanging="360"/>
      </w:pPr>
      <w:rPr>
        <w:rFonts w:ascii="Arial" w:eastAsia="Arial" w:hAnsi="Arial" w:cs="Arial" w:hint="default"/>
        <w:b/>
        <w:bCs/>
        <w:i w:val="0"/>
        <w:iCs w:val="0"/>
        <w:spacing w:val="0"/>
        <w:w w:val="93"/>
        <w:sz w:val="24"/>
        <w:szCs w:val="24"/>
        <w:lang w:val="en-US" w:eastAsia="en-US" w:bidi="ar-SA"/>
      </w:rPr>
    </w:lvl>
    <w:lvl w:ilvl="1">
      <w:start w:val="1"/>
      <w:numFmt w:val="decimal"/>
      <w:lvlText w:val="%1.%2."/>
      <w:lvlJc w:val="left"/>
      <w:pPr>
        <w:ind w:left="574" w:hanging="432"/>
      </w:pPr>
      <w:rPr>
        <w:rFonts w:ascii="Arial" w:eastAsia="Arial" w:hAnsi="Arial" w:cs="Arial" w:hint="default"/>
        <w:b w:val="0"/>
        <w:bCs w:val="0"/>
        <w:i w:val="0"/>
        <w:iCs w:val="0"/>
        <w:spacing w:val="-1"/>
        <w:w w:val="91"/>
        <w:sz w:val="24"/>
        <w:szCs w:val="24"/>
        <w:lang w:val="en-US" w:eastAsia="en-US" w:bidi="ar-SA"/>
      </w:rPr>
    </w:lvl>
    <w:lvl w:ilvl="2">
      <w:start w:val="1"/>
      <w:numFmt w:val="bullet"/>
      <w:lvlText w:val=""/>
      <w:lvlJc w:val="left"/>
      <w:pPr>
        <w:ind w:left="1180" w:hanging="360"/>
      </w:pPr>
      <w:rPr>
        <w:rFonts w:ascii="Symbol" w:hAnsi="Symbol" w:hint="default"/>
      </w:rPr>
    </w:lvl>
    <w:lvl w:ilvl="3">
      <w:numFmt w:val="bullet"/>
      <w:lvlText w:val="•"/>
      <w:lvlJc w:val="left"/>
      <w:pPr>
        <w:ind w:left="2285" w:hanging="360"/>
      </w:pPr>
      <w:rPr>
        <w:rFonts w:hint="default"/>
        <w:lang w:val="en-US" w:eastAsia="en-US" w:bidi="ar-SA"/>
      </w:rPr>
    </w:lvl>
    <w:lvl w:ilvl="4">
      <w:numFmt w:val="bullet"/>
      <w:lvlText w:val="•"/>
      <w:lvlJc w:val="left"/>
      <w:pPr>
        <w:ind w:left="3391" w:hanging="360"/>
      </w:pPr>
      <w:rPr>
        <w:rFonts w:hint="default"/>
        <w:lang w:val="en-US" w:eastAsia="en-US" w:bidi="ar-SA"/>
      </w:rPr>
    </w:lvl>
    <w:lvl w:ilvl="5">
      <w:numFmt w:val="bullet"/>
      <w:lvlText w:val="•"/>
      <w:lvlJc w:val="left"/>
      <w:pPr>
        <w:ind w:left="4497" w:hanging="360"/>
      </w:pPr>
      <w:rPr>
        <w:rFonts w:hint="default"/>
        <w:lang w:val="en-US" w:eastAsia="en-US" w:bidi="ar-SA"/>
      </w:rPr>
    </w:lvl>
    <w:lvl w:ilvl="6">
      <w:numFmt w:val="bullet"/>
      <w:lvlText w:val="•"/>
      <w:lvlJc w:val="left"/>
      <w:pPr>
        <w:ind w:left="5603" w:hanging="360"/>
      </w:pPr>
      <w:rPr>
        <w:rFonts w:hint="default"/>
        <w:lang w:val="en-US" w:eastAsia="en-US" w:bidi="ar-SA"/>
      </w:rPr>
    </w:lvl>
    <w:lvl w:ilvl="7">
      <w:numFmt w:val="bullet"/>
      <w:lvlText w:val="•"/>
      <w:lvlJc w:val="left"/>
      <w:pPr>
        <w:ind w:left="6709" w:hanging="360"/>
      </w:pPr>
      <w:rPr>
        <w:rFonts w:hint="default"/>
        <w:lang w:val="en-US" w:eastAsia="en-US" w:bidi="ar-SA"/>
      </w:rPr>
    </w:lvl>
    <w:lvl w:ilvl="8">
      <w:numFmt w:val="bullet"/>
      <w:lvlText w:val="•"/>
      <w:lvlJc w:val="left"/>
      <w:pPr>
        <w:ind w:left="7814" w:hanging="360"/>
      </w:pPr>
      <w:rPr>
        <w:rFonts w:hint="default"/>
        <w:lang w:val="en-US" w:eastAsia="en-US" w:bidi="ar-SA"/>
      </w:rPr>
    </w:lvl>
  </w:abstractNum>
  <w:abstractNum w:abstractNumId="17" w15:restartNumberingAfterBreak="0">
    <w:nsid w:val="65083B09"/>
    <w:multiLevelType w:val="hybridMultilevel"/>
    <w:tmpl w:val="9886E72C"/>
    <w:lvl w:ilvl="0" w:tplc="DD48D6E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F3688B"/>
    <w:multiLevelType w:val="hybridMultilevel"/>
    <w:tmpl w:val="D9425C2E"/>
    <w:lvl w:ilvl="0" w:tplc="08090001">
      <w:start w:val="1"/>
      <w:numFmt w:val="bullet"/>
      <w:lvlText w:val=""/>
      <w:lvlJc w:val="left"/>
      <w:pPr>
        <w:ind w:left="1194" w:hanging="360"/>
      </w:pPr>
      <w:rPr>
        <w:rFonts w:ascii="Symbol" w:hAnsi="Symbol" w:hint="default"/>
      </w:rPr>
    </w:lvl>
    <w:lvl w:ilvl="1" w:tplc="08090003" w:tentative="1">
      <w:start w:val="1"/>
      <w:numFmt w:val="bullet"/>
      <w:lvlText w:val="o"/>
      <w:lvlJc w:val="left"/>
      <w:pPr>
        <w:ind w:left="1914" w:hanging="360"/>
      </w:pPr>
      <w:rPr>
        <w:rFonts w:ascii="Courier New" w:hAnsi="Courier New" w:cs="Courier New" w:hint="default"/>
      </w:rPr>
    </w:lvl>
    <w:lvl w:ilvl="2" w:tplc="08090005" w:tentative="1">
      <w:start w:val="1"/>
      <w:numFmt w:val="bullet"/>
      <w:lvlText w:val=""/>
      <w:lvlJc w:val="left"/>
      <w:pPr>
        <w:ind w:left="2634" w:hanging="360"/>
      </w:pPr>
      <w:rPr>
        <w:rFonts w:ascii="Wingdings" w:hAnsi="Wingdings" w:hint="default"/>
      </w:rPr>
    </w:lvl>
    <w:lvl w:ilvl="3" w:tplc="08090001" w:tentative="1">
      <w:start w:val="1"/>
      <w:numFmt w:val="bullet"/>
      <w:lvlText w:val=""/>
      <w:lvlJc w:val="left"/>
      <w:pPr>
        <w:ind w:left="3354" w:hanging="360"/>
      </w:pPr>
      <w:rPr>
        <w:rFonts w:ascii="Symbol" w:hAnsi="Symbol" w:hint="default"/>
      </w:rPr>
    </w:lvl>
    <w:lvl w:ilvl="4" w:tplc="08090003" w:tentative="1">
      <w:start w:val="1"/>
      <w:numFmt w:val="bullet"/>
      <w:lvlText w:val="o"/>
      <w:lvlJc w:val="left"/>
      <w:pPr>
        <w:ind w:left="4074" w:hanging="360"/>
      </w:pPr>
      <w:rPr>
        <w:rFonts w:ascii="Courier New" w:hAnsi="Courier New" w:cs="Courier New" w:hint="default"/>
      </w:rPr>
    </w:lvl>
    <w:lvl w:ilvl="5" w:tplc="08090005" w:tentative="1">
      <w:start w:val="1"/>
      <w:numFmt w:val="bullet"/>
      <w:lvlText w:val=""/>
      <w:lvlJc w:val="left"/>
      <w:pPr>
        <w:ind w:left="4794" w:hanging="360"/>
      </w:pPr>
      <w:rPr>
        <w:rFonts w:ascii="Wingdings" w:hAnsi="Wingdings" w:hint="default"/>
      </w:rPr>
    </w:lvl>
    <w:lvl w:ilvl="6" w:tplc="08090001" w:tentative="1">
      <w:start w:val="1"/>
      <w:numFmt w:val="bullet"/>
      <w:lvlText w:val=""/>
      <w:lvlJc w:val="left"/>
      <w:pPr>
        <w:ind w:left="5514" w:hanging="360"/>
      </w:pPr>
      <w:rPr>
        <w:rFonts w:ascii="Symbol" w:hAnsi="Symbol" w:hint="default"/>
      </w:rPr>
    </w:lvl>
    <w:lvl w:ilvl="7" w:tplc="08090003" w:tentative="1">
      <w:start w:val="1"/>
      <w:numFmt w:val="bullet"/>
      <w:lvlText w:val="o"/>
      <w:lvlJc w:val="left"/>
      <w:pPr>
        <w:ind w:left="6234" w:hanging="360"/>
      </w:pPr>
      <w:rPr>
        <w:rFonts w:ascii="Courier New" w:hAnsi="Courier New" w:cs="Courier New" w:hint="default"/>
      </w:rPr>
    </w:lvl>
    <w:lvl w:ilvl="8" w:tplc="08090005" w:tentative="1">
      <w:start w:val="1"/>
      <w:numFmt w:val="bullet"/>
      <w:lvlText w:val=""/>
      <w:lvlJc w:val="left"/>
      <w:pPr>
        <w:ind w:left="6954" w:hanging="360"/>
      </w:pPr>
      <w:rPr>
        <w:rFonts w:ascii="Wingdings" w:hAnsi="Wingdings" w:hint="default"/>
      </w:rPr>
    </w:lvl>
  </w:abstractNum>
  <w:abstractNum w:abstractNumId="19" w15:restartNumberingAfterBreak="0">
    <w:nsid w:val="7BB649B6"/>
    <w:multiLevelType w:val="hybridMultilevel"/>
    <w:tmpl w:val="2062D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7016050">
    <w:abstractNumId w:val="10"/>
  </w:num>
  <w:num w:numId="2" w16cid:durableId="1554850002">
    <w:abstractNumId w:val="6"/>
  </w:num>
  <w:num w:numId="3" w16cid:durableId="808523013">
    <w:abstractNumId w:val="5"/>
  </w:num>
  <w:num w:numId="4" w16cid:durableId="543521731">
    <w:abstractNumId w:val="12"/>
  </w:num>
  <w:num w:numId="5" w16cid:durableId="797799508">
    <w:abstractNumId w:val="0"/>
  </w:num>
  <w:num w:numId="6" w16cid:durableId="1328480386">
    <w:abstractNumId w:val="4"/>
  </w:num>
  <w:num w:numId="7" w16cid:durableId="2145657358">
    <w:abstractNumId w:val="1"/>
  </w:num>
  <w:num w:numId="8" w16cid:durableId="2097289407">
    <w:abstractNumId w:val="14"/>
  </w:num>
  <w:num w:numId="9" w16cid:durableId="1242376895">
    <w:abstractNumId w:val="11"/>
  </w:num>
  <w:num w:numId="10" w16cid:durableId="1748530812">
    <w:abstractNumId w:val="2"/>
  </w:num>
  <w:num w:numId="11" w16cid:durableId="2005205387">
    <w:abstractNumId w:val="13"/>
  </w:num>
  <w:num w:numId="12" w16cid:durableId="409237064">
    <w:abstractNumId w:val="17"/>
  </w:num>
  <w:num w:numId="13" w16cid:durableId="655112865">
    <w:abstractNumId w:val="7"/>
  </w:num>
  <w:num w:numId="14" w16cid:durableId="1645501561">
    <w:abstractNumId w:val="15"/>
  </w:num>
  <w:num w:numId="15" w16cid:durableId="834108830">
    <w:abstractNumId w:val="16"/>
  </w:num>
  <w:num w:numId="16" w16cid:durableId="1341933780">
    <w:abstractNumId w:val="9"/>
  </w:num>
  <w:num w:numId="17" w16cid:durableId="209266899">
    <w:abstractNumId w:val="18"/>
  </w:num>
  <w:num w:numId="18" w16cid:durableId="1954705478">
    <w:abstractNumId w:val="19"/>
  </w:num>
  <w:num w:numId="19" w16cid:durableId="1447042264">
    <w:abstractNumId w:val="3"/>
  </w:num>
  <w:num w:numId="20" w16cid:durableId="93140015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DD"/>
    <w:rsid w:val="00000308"/>
    <w:rsid w:val="00002CA0"/>
    <w:rsid w:val="0000592E"/>
    <w:rsid w:val="00007AEB"/>
    <w:rsid w:val="00010995"/>
    <w:rsid w:val="00013F46"/>
    <w:rsid w:val="000143CC"/>
    <w:rsid w:val="000179B6"/>
    <w:rsid w:val="00020580"/>
    <w:rsid w:val="00021C54"/>
    <w:rsid w:val="00022360"/>
    <w:rsid w:val="000229D8"/>
    <w:rsid w:val="00023021"/>
    <w:rsid w:val="00024CB7"/>
    <w:rsid w:val="00024EF1"/>
    <w:rsid w:val="00025720"/>
    <w:rsid w:val="00026C54"/>
    <w:rsid w:val="00027189"/>
    <w:rsid w:val="0003082F"/>
    <w:rsid w:val="0003298F"/>
    <w:rsid w:val="00032E3B"/>
    <w:rsid w:val="000365CF"/>
    <w:rsid w:val="00043C7C"/>
    <w:rsid w:val="00043EB1"/>
    <w:rsid w:val="00044363"/>
    <w:rsid w:val="00050410"/>
    <w:rsid w:val="00051260"/>
    <w:rsid w:val="00052367"/>
    <w:rsid w:val="00052733"/>
    <w:rsid w:val="00053BA2"/>
    <w:rsid w:val="000546FE"/>
    <w:rsid w:val="000552E0"/>
    <w:rsid w:val="0005701B"/>
    <w:rsid w:val="0005702F"/>
    <w:rsid w:val="000573FB"/>
    <w:rsid w:val="0006033B"/>
    <w:rsid w:val="000605A5"/>
    <w:rsid w:val="0006247D"/>
    <w:rsid w:val="000628F4"/>
    <w:rsid w:val="0006705D"/>
    <w:rsid w:val="00067242"/>
    <w:rsid w:val="00074364"/>
    <w:rsid w:val="00076472"/>
    <w:rsid w:val="00081918"/>
    <w:rsid w:val="0008330C"/>
    <w:rsid w:val="00084A61"/>
    <w:rsid w:val="00084C37"/>
    <w:rsid w:val="00091115"/>
    <w:rsid w:val="000916BA"/>
    <w:rsid w:val="000919D9"/>
    <w:rsid w:val="00093066"/>
    <w:rsid w:val="000931EC"/>
    <w:rsid w:val="000934FA"/>
    <w:rsid w:val="000935F5"/>
    <w:rsid w:val="000939E1"/>
    <w:rsid w:val="000952D3"/>
    <w:rsid w:val="0009617B"/>
    <w:rsid w:val="000A19EC"/>
    <w:rsid w:val="000A20CE"/>
    <w:rsid w:val="000A2DF6"/>
    <w:rsid w:val="000A3685"/>
    <w:rsid w:val="000A3F13"/>
    <w:rsid w:val="000A486E"/>
    <w:rsid w:val="000A5643"/>
    <w:rsid w:val="000A78D6"/>
    <w:rsid w:val="000B5454"/>
    <w:rsid w:val="000B695E"/>
    <w:rsid w:val="000B6BA4"/>
    <w:rsid w:val="000C0B56"/>
    <w:rsid w:val="000C244D"/>
    <w:rsid w:val="000C2DFE"/>
    <w:rsid w:val="000C49AF"/>
    <w:rsid w:val="000C58E2"/>
    <w:rsid w:val="000C78A2"/>
    <w:rsid w:val="000C7B11"/>
    <w:rsid w:val="000D12B2"/>
    <w:rsid w:val="000D476C"/>
    <w:rsid w:val="000E053F"/>
    <w:rsid w:val="000E0963"/>
    <w:rsid w:val="000E1871"/>
    <w:rsid w:val="000E47AE"/>
    <w:rsid w:val="000E4F19"/>
    <w:rsid w:val="000E757B"/>
    <w:rsid w:val="000F0ECC"/>
    <w:rsid w:val="000F13C6"/>
    <w:rsid w:val="000F1757"/>
    <w:rsid w:val="000F185B"/>
    <w:rsid w:val="000F28C1"/>
    <w:rsid w:val="000F3CE8"/>
    <w:rsid w:val="000F4BE7"/>
    <w:rsid w:val="000F5563"/>
    <w:rsid w:val="000F5BBF"/>
    <w:rsid w:val="000F5D7C"/>
    <w:rsid w:val="000F5D86"/>
    <w:rsid w:val="00100910"/>
    <w:rsid w:val="00101F09"/>
    <w:rsid w:val="001057E8"/>
    <w:rsid w:val="001063AE"/>
    <w:rsid w:val="00107722"/>
    <w:rsid w:val="001131DF"/>
    <w:rsid w:val="00113954"/>
    <w:rsid w:val="00114136"/>
    <w:rsid w:val="001150ED"/>
    <w:rsid w:val="001164DD"/>
    <w:rsid w:val="0011702D"/>
    <w:rsid w:val="00117BA9"/>
    <w:rsid w:val="00124961"/>
    <w:rsid w:val="00126155"/>
    <w:rsid w:val="00132962"/>
    <w:rsid w:val="001339AF"/>
    <w:rsid w:val="00133B51"/>
    <w:rsid w:val="00134CAF"/>
    <w:rsid w:val="00135191"/>
    <w:rsid w:val="0014153E"/>
    <w:rsid w:val="00151C1C"/>
    <w:rsid w:val="001527EF"/>
    <w:rsid w:val="00154671"/>
    <w:rsid w:val="00155090"/>
    <w:rsid w:val="001558AA"/>
    <w:rsid w:val="00155DC4"/>
    <w:rsid w:val="001604C5"/>
    <w:rsid w:val="00162546"/>
    <w:rsid w:val="0016579E"/>
    <w:rsid w:val="00171E55"/>
    <w:rsid w:val="00175612"/>
    <w:rsid w:val="0017588A"/>
    <w:rsid w:val="00175DAF"/>
    <w:rsid w:val="001806E1"/>
    <w:rsid w:val="00180E09"/>
    <w:rsid w:val="00182329"/>
    <w:rsid w:val="0019075A"/>
    <w:rsid w:val="00190C73"/>
    <w:rsid w:val="00193197"/>
    <w:rsid w:val="001967E1"/>
    <w:rsid w:val="001973E0"/>
    <w:rsid w:val="001A0F1F"/>
    <w:rsid w:val="001A0F24"/>
    <w:rsid w:val="001A291E"/>
    <w:rsid w:val="001A2AE2"/>
    <w:rsid w:val="001A2D10"/>
    <w:rsid w:val="001A5356"/>
    <w:rsid w:val="001B139B"/>
    <w:rsid w:val="001B13F7"/>
    <w:rsid w:val="001B257E"/>
    <w:rsid w:val="001B39FB"/>
    <w:rsid w:val="001B4C05"/>
    <w:rsid w:val="001B7BAE"/>
    <w:rsid w:val="001C45D5"/>
    <w:rsid w:val="001C68C8"/>
    <w:rsid w:val="001D0E41"/>
    <w:rsid w:val="001D0E65"/>
    <w:rsid w:val="001D1693"/>
    <w:rsid w:val="001D1AEC"/>
    <w:rsid w:val="001D2212"/>
    <w:rsid w:val="001D3A13"/>
    <w:rsid w:val="001D4961"/>
    <w:rsid w:val="001E0BD7"/>
    <w:rsid w:val="001E0E7F"/>
    <w:rsid w:val="001E3CB9"/>
    <w:rsid w:val="001E4852"/>
    <w:rsid w:val="001E5B10"/>
    <w:rsid w:val="001E646F"/>
    <w:rsid w:val="001E6782"/>
    <w:rsid w:val="001E6A69"/>
    <w:rsid w:val="001E6CF2"/>
    <w:rsid w:val="001F17CF"/>
    <w:rsid w:val="001F4382"/>
    <w:rsid w:val="001F641C"/>
    <w:rsid w:val="00200AE1"/>
    <w:rsid w:val="0020118B"/>
    <w:rsid w:val="00206F4D"/>
    <w:rsid w:val="00210566"/>
    <w:rsid w:val="00212301"/>
    <w:rsid w:val="0021380B"/>
    <w:rsid w:val="002151ED"/>
    <w:rsid w:val="00217F25"/>
    <w:rsid w:val="00221B95"/>
    <w:rsid w:val="00222632"/>
    <w:rsid w:val="00222A22"/>
    <w:rsid w:val="002239A4"/>
    <w:rsid w:val="00225379"/>
    <w:rsid w:val="002254EA"/>
    <w:rsid w:val="00226838"/>
    <w:rsid w:val="00226D34"/>
    <w:rsid w:val="002306C7"/>
    <w:rsid w:val="00230BDF"/>
    <w:rsid w:val="002333E1"/>
    <w:rsid w:val="00233AFF"/>
    <w:rsid w:val="00233F2D"/>
    <w:rsid w:val="002368DD"/>
    <w:rsid w:val="00236EF2"/>
    <w:rsid w:val="00242814"/>
    <w:rsid w:val="00243C93"/>
    <w:rsid w:val="00245CE0"/>
    <w:rsid w:val="002473EC"/>
    <w:rsid w:val="0024760B"/>
    <w:rsid w:val="00250102"/>
    <w:rsid w:val="00250630"/>
    <w:rsid w:val="00253FC0"/>
    <w:rsid w:val="002555AA"/>
    <w:rsid w:val="00255C32"/>
    <w:rsid w:val="00256AAF"/>
    <w:rsid w:val="00260176"/>
    <w:rsid w:val="002620B6"/>
    <w:rsid w:val="00262E18"/>
    <w:rsid w:val="0026328D"/>
    <w:rsid w:val="00264A37"/>
    <w:rsid w:val="0026789D"/>
    <w:rsid w:val="00270EC4"/>
    <w:rsid w:val="00271811"/>
    <w:rsid w:val="00271F5A"/>
    <w:rsid w:val="00274229"/>
    <w:rsid w:val="00275E18"/>
    <w:rsid w:val="0027620B"/>
    <w:rsid w:val="00276C24"/>
    <w:rsid w:val="0028397F"/>
    <w:rsid w:val="00284B1C"/>
    <w:rsid w:val="00286910"/>
    <w:rsid w:val="00287144"/>
    <w:rsid w:val="002916B0"/>
    <w:rsid w:val="002946C5"/>
    <w:rsid w:val="00297FFC"/>
    <w:rsid w:val="002A07DE"/>
    <w:rsid w:val="002A0FC1"/>
    <w:rsid w:val="002A26E9"/>
    <w:rsid w:val="002A612B"/>
    <w:rsid w:val="002A6DFB"/>
    <w:rsid w:val="002B30B9"/>
    <w:rsid w:val="002B421E"/>
    <w:rsid w:val="002B445B"/>
    <w:rsid w:val="002B477B"/>
    <w:rsid w:val="002B6CC2"/>
    <w:rsid w:val="002B6ED4"/>
    <w:rsid w:val="002D0C6E"/>
    <w:rsid w:val="002D3872"/>
    <w:rsid w:val="002D6CAA"/>
    <w:rsid w:val="002E0059"/>
    <w:rsid w:val="002E08F9"/>
    <w:rsid w:val="002E31E7"/>
    <w:rsid w:val="002E45CD"/>
    <w:rsid w:val="002F59A5"/>
    <w:rsid w:val="002F6644"/>
    <w:rsid w:val="00302ADD"/>
    <w:rsid w:val="00314B24"/>
    <w:rsid w:val="00314CDD"/>
    <w:rsid w:val="0031765E"/>
    <w:rsid w:val="00326C51"/>
    <w:rsid w:val="00327CA1"/>
    <w:rsid w:val="003327C5"/>
    <w:rsid w:val="00333830"/>
    <w:rsid w:val="00333A32"/>
    <w:rsid w:val="00336167"/>
    <w:rsid w:val="0033686A"/>
    <w:rsid w:val="003368D9"/>
    <w:rsid w:val="003376F4"/>
    <w:rsid w:val="00341435"/>
    <w:rsid w:val="0034398C"/>
    <w:rsid w:val="0034799A"/>
    <w:rsid w:val="003509BE"/>
    <w:rsid w:val="00351055"/>
    <w:rsid w:val="00351184"/>
    <w:rsid w:val="00351208"/>
    <w:rsid w:val="00352FBC"/>
    <w:rsid w:val="0036597F"/>
    <w:rsid w:val="0037378E"/>
    <w:rsid w:val="003765CA"/>
    <w:rsid w:val="00376D54"/>
    <w:rsid w:val="00377AB0"/>
    <w:rsid w:val="00386770"/>
    <w:rsid w:val="00387B66"/>
    <w:rsid w:val="00392EA8"/>
    <w:rsid w:val="0039652B"/>
    <w:rsid w:val="003A19EF"/>
    <w:rsid w:val="003A1DA2"/>
    <w:rsid w:val="003A3D0E"/>
    <w:rsid w:val="003A4420"/>
    <w:rsid w:val="003B03F9"/>
    <w:rsid w:val="003B0630"/>
    <w:rsid w:val="003B06D1"/>
    <w:rsid w:val="003B1953"/>
    <w:rsid w:val="003B3490"/>
    <w:rsid w:val="003B5D83"/>
    <w:rsid w:val="003B6F99"/>
    <w:rsid w:val="003B75D7"/>
    <w:rsid w:val="003B7D70"/>
    <w:rsid w:val="003C1193"/>
    <w:rsid w:val="003C127F"/>
    <w:rsid w:val="003C156F"/>
    <w:rsid w:val="003C2901"/>
    <w:rsid w:val="003C292B"/>
    <w:rsid w:val="003C4EE6"/>
    <w:rsid w:val="003C557C"/>
    <w:rsid w:val="003C65FE"/>
    <w:rsid w:val="003C6AE0"/>
    <w:rsid w:val="003C6BF2"/>
    <w:rsid w:val="003C7135"/>
    <w:rsid w:val="003C7D9F"/>
    <w:rsid w:val="003D36DF"/>
    <w:rsid w:val="003D41C1"/>
    <w:rsid w:val="003D5FE5"/>
    <w:rsid w:val="003D675C"/>
    <w:rsid w:val="003D79B1"/>
    <w:rsid w:val="003E0E7C"/>
    <w:rsid w:val="003E125A"/>
    <w:rsid w:val="003E199C"/>
    <w:rsid w:val="003E1E6C"/>
    <w:rsid w:val="003E213F"/>
    <w:rsid w:val="003E439B"/>
    <w:rsid w:val="003E45CB"/>
    <w:rsid w:val="003E5785"/>
    <w:rsid w:val="003E5C79"/>
    <w:rsid w:val="003F017B"/>
    <w:rsid w:val="003F32B6"/>
    <w:rsid w:val="003F38FF"/>
    <w:rsid w:val="003F41F7"/>
    <w:rsid w:val="003F481F"/>
    <w:rsid w:val="003F5F5E"/>
    <w:rsid w:val="003F6D1E"/>
    <w:rsid w:val="003F75C4"/>
    <w:rsid w:val="0040021A"/>
    <w:rsid w:val="00401869"/>
    <w:rsid w:val="004020A1"/>
    <w:rsid w:val="004052F5"/>
    <w:rsid w:val="00407794"/>
    <w:rsid w:val="00407B16"/>
    <w:rsid w:val="00410811"/>
    <w:rsid w:val="00411536"/>
    <w:rsid w:val="00411C17"/>
    <w:rsid w:val="00411FC0"/>
    <w:rsid w:val="00415945"/>
    <w:rsid w:val="00416564"/>
    <w:rsid w:val="0042145E"/>
    <w:rsid w:val="0042202A"/>
    <w:rsid w:val="00423008"/>
    <w:rsid w:val="004234E8"/>
    <w:rsid w:val="00424B16"/>
    <w:rsid w:val="00424FDE"/>
    <w:rsid w:val="00425A8E"/>
    <w:rsid w:val="0042629B"/>
    <w:rsid w:val="004270BE"/>
    <w:rsid w:val="00427F90"/>
    <w:rsid w:val="00431B95"/>
    <w:rsid w:val="004320CE"/>
    <w:rsid w:val="00436048"/>
    <w:rsid w:val="004372A9"/>
    <w:rsid w:val="0044167E"/>
    <w:rsid w:val="00442B42"/>
    <w:rsid w:val="004465B9"/>
    <w:rsid w:val="00447F73"/>
    <w:rsid w:val="0045053E"/>
    <w:rsid w:val="00452EDC"/>
    <w:rsid w:val="0045471E"/>
    <w:rsid w:val="0045750C"/>
    <w:rsid w:val="00463D3F"/>
    <w:rsid w:val="00465ABA"/>
    <w:rsid w:val="0046615B"/>
    <w:rsid w:val="004709DE"/>
    <w:rsid w:val="004724DA"/>
    <w:rsid w:val="0047306D"/>
    <w:rsid w:val="0047410D"/>
    <w:rsid w:val="004754C9"/>
    <w:rsid w:val="0047551C"/>
    <w:rsid w:val="00480511"/>
    <w:rsid w:val="00483E12"/>
    <w:rsid w:val="00484262"/>
    <w:rsid w:val="00484F0C"/>
    <w:rsid w:val="00486615"/>
    <w:rsid w:val="004878E1"/>
    <w:rsid w:val="0049003A"/>
    <w:rsid w:val="00493ECB"/>
    <w:rsid w:val="00494118"/>
    <w:rsid w:val="00494E8D"/>
    <w:rsid w:val="004966A2"/>
    <w:rsid w:val="00496D19"/>
    <w:rsid w:val="004A367C"/>
    <w:rsid w:val="004A4037"/>
    <w:rsid w:val="004A61F8"/>
    <w:rsid w:val="004B0798"/>
    <w:rsid w:val="004B22BC"/>
    <w:rsid w:val="004B2E3F"/>
    <w:rsid w:val="004B36F1"/>
    <w:rsid w:val="004C1393"/>
    <w:rsid w:val="004C154D"/>
    <w:rsid w:val="004C1805"/>
    <w:rsid w:val="004C1958"/>
    <w:rsid w:val="004C397E"/>
    <w:rsid w:val="004C6CF1"/>
    <w:rsid w:val="004D0FB6"/>
    <w:rsid w:val="004D4004"/>
    <w:rsid w:val="004D4C62"/>
    <w:rsid w:val="004D4E6C"/>
    <w:rsid w:val="004D54D4"/>
    <w:rsid w:val="004D6095"/>
    <w:rsid w:val="004D738D"/>
    <w:rsid w:val="004D73EF"/>
    <w:rsid w:val="004F0E67"/>
    <w:rsid w:val="004F1DD0"/>
    <w:rsid w:val="004F1DD5"/>
    <w:rsid w:val="004F3710"/>
    <w:rsid w:val="004F5B59"/>
    <w:rsid w:val="004F756F"/>
    <w:rsid w:val="00505A3F"/>
    <w:rsid w:val="005109E7"/>
    <w:rsid w:val="00511D5B"/>
    <w:rsid w:val="005137E7"/>
    <w:rsid w:val="00514739"/>
    <w:rsid w:val="00515E21"/>
    <w:rsid w:val="0052040E"/>
    <w:rsid w:val="0052379A"/>
    <w:rsid w:val="005237E1"/>
    <w:rsid w:val="00523DFF"/>
    <w:rsid w:val="00532E20"/>
    <w:rsid w:val="005362CB"/>
    <w:rsid w:val="0053732D"/>
    <w:rsid w:val="005423A5"/>
    <w:rsid w:val="00543F7D"/>
    <w:rsid w:val="00544B3E"/>
    <w:rsid w:val="00547850"/>
    <w:rsid w:val="005507C5"/>
    <w:rsid w:val="0055523A"/>
    <w:rsid w:val="005643BF"/>
    <w:rsid w:val="00565FA3"/>
    <w:rsid w:val="00566414"/>
    <w:rsid w:val="0056655A"/>
    <w:rsid w:val="00567CF5"/>
    <w:rsid w:val="00571C14"/>
    <w:rsid w:val="005722A6"/>
    <w:rsid w:val="0057450B"/>
    <w:rsid w:val="0057738F"/>
    <w:rsid w:val="005809A2"/>
    <w:rsid w:val="00580E11"/>
    <w:rsid w:val="00582B3F"/>
    <w:rsid w:val="00590B36"/>
    <w:rsid w:val="005925A2"/>
    <w:rsid w:val="00592F0F"/>
    <w:rsid w:val="00593863"/>
    <w:rsid w:val="00595F77"/>
    <w:rsid w:val="0059602C"/>
    <w:rsid w:val="005A3A2B"/>
    <w:rsid w:val="005A74C3"/>
    <w:rsid w:val="005A754E"/>
    <w:rsid w:val="005B02A7"/>
    <w:rsid w:val="005B0DC3"/>
    <w:rsid w:val="005B0DEC"/>
    <w:rsid w:val="005B114C"/>
    <w:rsid w:val="005B3FBA"/>
    <w:rsid w:val="005B416F"/>
    <w:rsid w:val="005B5687"/>
    <w:rsid w:val="005C22C9"/>
    <w:rsid w:val="005C2B2B"/>
    <w:rsid w:val="005C38B1"/>
    <w:rsid w:val="005D3127"/>
    <w:rsid w:val="005D3D28"/>
    <w:rsid w:val="005E1343"/>
    <w:rsid w:val="005E5531"/>
    <w:rsid w:val="005F1802"/>
    <w:rsid w:val="005F2B4F"/>
    <w:rsid w:val="005F2C46"/>
    <w:rsid w:val="005F42DE"/>
    <w:rsid w:val="005F7429"/>
    <w:rsid w:val="005F7A4A"/>
    <w:rsid w:val="005F7DA5"/>
    <w:rsid w:val="0060036D"/>
    <w:rsid w:val="00601C12"/>
    <w:rsid w:val="00602889"/>
    <w:rsid w:val="0060444F"/>
    <w:rsid w:val="00604916"/>
    <w:rsid w:val="00605B3D"/>
    <w:rsid w:val="00606788"/>
    <w:rsid w:val="00607566"/>
    <w:rsid w:val="00610607"/>
    <w:rsid w:val="0061072E"/>
    <w:rsid w:val="00614A5F"/>
    <w:rsid w:val="00615B8B"/>
    <w:rsid w:val="00616481"/>
    <w:rsid w:val="00620FE2"/>
    <w:rsid w:val="006237B0"/>
    <w:rsid w:val="00631B66"/>
    <w:rsid w:val="00632827"/>
    <w:rsid w:val="006334A6"/>
    <w:rsid w:val="006338C9"/>
    <w:rsid w:val="00635417"/>
    <w:rsid w:val="006406CC"/>
    <w:rsid w:val="00640C42"/>
    <w:rsid w:val="00642937"/>
    <w:rsid w:val="006444A7"/>
    <w:rsid w:val="0064553A"/>
    <w:rsid w:val="0064694C"/>
    <w:rsid w:val="0065141B"/>
    <w:rsid w:val="00652017"/>
    <w:rsid w:val="00654244"/>
    <w:rsid w:val="00655A98"/>
    <w:rsid w:val="00660397"/>
    <w:rsid w:val="00663D1F"/>
    <w:rsid w:val="006640D0"/>
    <w:rsid w:val="00664DEE"/>
    <w:rsid w:val="006659F2"/>
    <w:rsid w:val="00665DE1"/>
    <w:rsid w:val="00666AEB"/>
    <w:rsid w:val="006717E9"/>
    <w:rsid w:val="006717FB"/>
    <w:rsid w:val="00672630"/>
    <w:rsid w:val="00673045"/>
    <w:rsid w:val="00675A96"/>
    <w:rsid w:val="00676F1A"/>
    <w:rsid w:val="00680EE7"/>
    <w:rsid w:val="00681987"/>
    <w:rsid w:val="006844D8"/>
    <w:rsid w:val="0068524E"/>
    <w:rsid w:val="00685CB2"/>
    <w:rsid w:val="00685D7C"/>
    <w:rsid w:val="006908C3"/>
    <w:rsid w:val="0069109D"/>
    <w:rsid w:val="0069230D"/>
    <w:rsid w:val="0069307A"/>
    <w:rsid w:val="00694800"/>
    <w:rsid w:val="006959CD"/>
    <w:rsid w:val="00695DAD"/>
    <w:rsid w:val="006963F1"/>
    <w:rsid w:val="006A55DE"/>
    <w:rsid w:val="006A7C92"/>
    <w:rsid w:val="006B1469"/>
    <w:rsid w:val="006B2513"/>
    <w:rsid w:val="006B3176"/>
    <w:rsid w:val="006B3E11"/>
    <w:rsid w:val="006B59AA"/>
    <w:rsid w:val="006B5B22"/>
    <w:rsid w:val="006B7E3A"/>
    <w:rsid w:val="006C0A93"/>
    <w:rsid w:val="006C4ED1"/>
    <w:rsid w:val="006C5CDF"/>
    <w:rsid w:val="006D6186"/>
    <w:rsid w:val="006D6216"/>
    <w:rsid w:val="006D744A"/>
    <w:rsid w:val="006D77C0"/>
    <w:rsid w:val="006D7AB3"/>
    <w:rsid w:val="006E32E2"/>
    <w:rsid w:val="006E5E17"/>
    <w:rsid w:val="006E6B73"/>
    <w:rsid w:val="006F0D36"/>
    <w:rsid w:val="006F126E"/>
    <w:rsid w:val="006F3491"/>
    <w:rsid w:val="006F765F"/>
    <w:rsid w:val="006F7CD7"/>
    <w:rsid w:val="00700F45"/>
    <w:rsid w:val="00703610"/>
    <w:rsid w:val="00706019"/>
    <w:rsid w:val="00707577"/>
    <w:rsid w:val="00707595"/>
    <w:rsid w:val="007078C6"/>
    <w:rsid w:val="00707BFC"/>
    <w:rsid w:val="00707D82"/>
    <w:rsid w:val="00707E62"/>
    <w:rsid w:val="007112AB"/>
    <w:rsid w:val="00715396"/>
    <w:rsid w:val="0071552D"/>
    <w:rsid w:val="007158E4"/>
    <w:rsid w:val="00715B5C"/>
    <w:rsid w:val="007211DC"/>
    <w:rsid w:val="007215A7"/>
    <w:rsid w:val="00723914"/>
    <w:rsid w:val="00725212"/>
    <w:rsid w:val="00725E79"/>
    <w:rsid w:val="00730F4F"/>
    <w:rsid w:val="00731B00"/>
    <w:rsid w:val="007340E8"/>
    <w:rsid w:val="00734EEE"/>
    <w:rsid w:val="007350AA"/>
    <w:rsid w:val="00735661"/>
    <w:rsid w:val="007373E7"/>
    <w:rsid w:val="00737B73"/>
    <w:rsid w:val="00743069"/>
    <w:rsid w:val="00743C85"/>
    <w:rsid w:val="00743F65"/>
    <w:rsid w:val="0074532E"/>
    <w:rsid w:val="007456DC"/>
    <w:rsid w:val="00745AF0"/>
    <w:rsid w:val="00753E48"/>
    <w:rsid w:val="007618F6"/>
    <w:rsid w:val="007631A2"/>
    <w:rsid w:val="00763956"/>
    <w:rsid w:val="0077014A"/>
    <w:rsid w:val="007736E2"/>
    <w:rsid w:val="00774D18"/>
    <w:rsid w:val="00783027"/>
    <w:rsid w:val="00793780"/>
    <w:rsid w:val="007954F7"/>
    <w:rsid w:val="007A492D"/>
    <w:rsid w:val="007A51FD"/>
    <w:rsid w:val="007A7609"/>
    <w:rsid w:val="007B080B"/>
    <w:rsid w:val="007B191F"/>
    <w:rsid w:val="007B24CA"/>
    <w:rsid w:val="007B2BC9"/>
    <w:rsid w:val="007B442C"/>
    <w:rsid w:val="007B491C"/>
    <w:rsid w:val="007B6BDB"/>
    <w:rsid w:val="007C29C5"/>
    <w:rsid w:val="007C33D9"/>
    <w:rsid w:val="007C4425"/>
    <w:rsid w:val="007C477B"/>
    <w:rsid w:val="007C57BB"/>
    <w:rsid w:val="007C628B"/>
    <w:rsid w:val="007C6794"/>
    <w:rsid w:val="007C7383"/>
    <w:rsid w:val="007C78C6"/>
    <w:rsid w:val="007C7C13"/>
    <w:rsid w:val="007D0E7B"/>
    <w:rsid w:val="007D2C45"/>
    <w:rsid w:val="007D41B9"/>
    <w:rsid w:val="007D5EBD"/>
    <w:rsid w:val="007D6B0B"/>
    <w:rsid w:val="007D700D"/>
    <w:rsid w:val="007E1983"/>
    <w:rsid w:val="007E335B"/>
    <w:rsid w:val="007F0162"/>
    <w:rsid w:val="007F09F2"/>
    <w:rsid w:val="007F0E67"/>
    <w:rsid w:val="007F24D8"/>
    <w:rsid w:val="007F5415"/>
    <w:rsid w:val="008006DB"/>
    <w:rsid w:val="008066D5"/>
    <w:rsid w:val="008125B0"/>
    <w:rsid w:val="00815738"/>
    <w:rsid w:val="008226C7"/>
    <w:rsid w:val="008233C8"/>
    <w:rsid w:val="00825B3A"/>
    <w:rsid w:val="00826386"/>
    <w:rsid w:val="00826C3C"/>
    <w:rsid w:val="00826F24"/>
    <w:rsid w:val="0083295D"/>
    <w:rsid w:val="008331E6"/>
    <w:rsid w:val="008338C0"/>
    <w:rsid w:val="00841481"/>
    <w:rsid w:val="00841D52"/>
    <w:rsid w:val="00842921"/>
    <w:rsid w:val="00842ABC"/>
    <w:rsid w:val="0084386E"/>
    <w:rsid w:val="0084388B"/>
    <w:rsid w:val="00846FBA"/>
    <w:rsid w:val="00851F9A"/>
    <w:rsid w:val="00853ADE"/>
    <w:rsid w:val="0086147C"/>
    <w:rsid w:val="00861B64"/>
    <w:rsid w:val="00861BC2"/>
    <w:rsid w:val="008654BC"/>
    <w:rsid w:val="00870237"/>
    <w:rsid w:val="00870353"/>
    <w:rsid w:val="00871A99"/>
    <w:rsid w:val="00874651"/>
    <w:rsid w:val="0087602A"/>
    <w:rsid w:val="0087693B"/>
    <w:rsid w:val="00876C34"/>
    <w:rsid w:val="008770B5"/>
    <w:rsid w:val="00882395"/>
    <w:rsid w:val="008833AD"/>
    <w:rsid w:val="008878DD"/>
    <w:rsid w:val="008906F2"/>
    <w:rsid w:val="00893A12"/>
    <w:rsid w:val="00895DB2"/>
    <w:rsid w:val="00897828"/>
    <w:rsid w:val="008A2A50"/>
    <w:rsid w:val="008A32E1"/>
    <w:rsid w:val="008A36FA"/>
    <w:rsid w:val="008A54A3"/>
    <w:rsid w:val="008A576E"/>
    <w:rsid w:val="008B09C3"/>
    <w:rsid w:val="008B14FE"/>
    <w:rsid w:val="008B2866"/>
    <w:rsid w:val="008B2BD1"/>
    <w:rsid w:val="008B4CC5"/>
    <w:rsid w:val="008B71A3"/>
    <w:rsid w:val="008C147B"/>
    <w:rsid w:val="008C3D3C"/>
    <w:rsid w:val="008C42DE"/>
    <w:rsid w:val="008C4E9D"/>
    <w:rsid w:val="008C5B22"/>
    <w:rsid w:val="008C6941"/>
    <w:rsid w:val="008D06A5"/>
    <w:rsid w:val="008D1C3E"/>
    <w:rsid w:val="008D36D1"/>
    <w:rsid w:val="008D6B2B"/>
    <w:rsid w:val="008D7604"/>
    <w:rsid w:val="008D7614"/>
    <w:rsid w:val="008E41CA"/>
    <w:rsid w:val="008E43CE"/>
    <w:rsid w:val="008E650B"/>
    <w:rsid w:val="008E6759"/>
    <w:rsid w:val="008F0741"/>
    <w:rsid w:val="008F09AA"/>
    <w:rsid w:val="008F6C1E"/>
    <w:rsid w:val="00900418"/>
    <w:rsid w:val="009020BA"/>
    <w:rsid w:val="009035F4"/>
    <w:rsid w:val="00913C6E"/>
    <w:rsid w:val="009141A8"/>
    <w:rsid w:val="00915B61"/>
    <w:rsid w:val="00915C8D"/>
    <w:rsid w:val="0091664C"/>
    <w:rsid w:val="00916776"/>
    <w:rsid w:val="00916AEF"/>
    <w:rsid w:val="00921E61"/>
    <w:rsid w:val="009225EE"/>
    <w:rsid w:val="00922744"/>
    <w:rsid w:val="009246ED"/>
    <w:rsid w:val="009255F8"/>
    <w:rsid w:val="00926C94"/>
    <w:rsid w:val="00927B8B"/>
    <w:rsid w:val="00927D6F"/>
    <w:rsid w:val="0093196A"/>
    <w:rsid w:val="009331EF"/>
    <w:rsid w:val="009411EF"/>
    <w:rsid w:val="00946C42"/>
    <w:rsid w:val="00947AAC"/>
    <w:rsid w:val="00953D11"/>
    <w:rsid w:val="00954E62"/>
    <w:rsid w:val="0095566D"/>
    <w:rsid w:val="00957556"/>
    <w:rsid w:val="009620ED"/>
    <w:rsid w:val="00965951"/>
    <w:rsid w:val="00965FB8"/>
    <w:rsid w:val="00970356"/>
    <w:rsid w:val="00970D55"/>
    <w:rsid w:val="00972E5E"/>
    <w:rsid w:val="00973ACD"/>
    <w:rsid w:val="00974551"/>
    <w:rsid w:val="00974686"/>
    <w:rsid w:val="009772BE"/>
    <w:rsid w:val="009778DB"/>
    <w:rsid w:val="009803B7"/>
    <w:rsid w:val="009807D5"/>
    <w:rsid w:val="009833BD"/>
    <w:rsid w:val="00983D83"/>
    <w:rsid w:val="00984E5C"/>
    <w:rsid w:val="009867EB"/>
    <w:rsid w:val="00987F6B"/>
    <w:rsid w:val="00990B45"/>
    <w:rsid w:val="00992789"/>
    <w:rsid w:val="00995107"/>
    <w:rsid w:val="00996551"/>
    <w:rsid w:val="00996FF6"/>
    <w:rsid w:val="00997151"/>
    <w:rsid w:val="009A00B3"/>
    <w:rsid w:val="009A0DEC"/>
    <w:rsid w:val="009A256B"/>
    <w:rsid w:val="009A2C88"/>
    <w:rsid w:val="009A3B59"/>
    <w:rsid w:val="009A481A"/>
    <w:rsid w:val="009B0C63"/>
    <w:rsid w:val="009B2AD2"/>
    <w:rsid w:val="009B39EB"/>
    <w:rsid w:val="009B4009"/>
    <w:rsid w:val="009B5AB4"/>
    <w:rsid w:val="009B72B6"/>
    <w:rsid w:val="009C4353"/>
    <w:rsid w:val="009C4847"/>
    <w:rsid w:val="009C63AB"/>
    <w:rsid w:val="009D2344"/>
    <w:rsid w:val="009D2B7B"/>
    <w:rsid w:val="009D597A"/>
    <w:rsid w:val="009D62EC"/>
    <w:rsid w:val="009D7131"/>
    <w:rsid w:val="009E4814"/>
    <w:rsid w:val="009E665C"/>
    <w:rsid w:val="009E71D5"/>
    <w:rsid w:val="009F09D7"/>
    <w:rsid w:val="009F15C3"/>
    <w:rsid w:val="009F2258"/>
    <w:rsid w:val="009F228A"/>
    <w:rsid w:val="009F233C"/>
    <w:rsid w:val="009F39E4"/>
    <w:rsid w:val="009F521E"/>
    <w:rsid w:val="009F750D"/>
    <w:rsid w:val="009F7B50"/>
    <w:rsid w:val="00A034CC"/>
    <w:rsid w:val="00A1127E"/>
    <w:rsid w:val="00A11F9C"/>
    <w:rsid w:val="00A1212A"/>
    <w:rsid w:val="00A12E2B"/>
    <w:rsid w:val="00A1444F"/>
    <w:rsid w:val="00A14DA7"/>
    <w:rsid w:val="00A15E87"/>
    <w:rsid w:val="00A16636"/>
    <w:rsid w:val="00A2198F"/>
    <w:rsid w:val="00A24AD5"/>
    <w:rsid w:val="00A25BFF"/>
    <w:rsid w:val="00A25EF9"/>
    <w:rsid w:val="00A26A0C"/>
    <w:rsid w:val="00A2795D"/>
    <w:rsid w:val="00A30C67"/>
    <w:rsid w:val="00A334CA"/>
    <w:rsid w:val="00A34D2E"/>
    <w:rsid w:val="00A3521A"/>
    <w:rsid w:val="00A35804"/>
    <w:rsid w:val="00A362CF"/>
    <w:rsid w:val="00A36EC1"/>
    <w:rsid w:val="00A41A11"/>
    <w:rsid w:val="00A45B83"/>
    <w:rsid w:val="00A46CEA"/>
    <w:rsid w:val="00A46D5B"/>
    <w:rsid w:val="00A47E46"/>
    <w:rsid w:val="00A51440"/>
    <w:rsid w:val="00A54A9D"/>
    <w:rsid w:val="00A60DB5"/>
    <w:rsid w:val="00A63D66"/>
    <w:rsid w:val="00A64A42"/>
    <w:rsid w:val="00A71D31"/>
    <w:rsid w:val="00A75473"/>
    <w:rsid w:val="00A76923"/>
    <w:rsid w:val="00A87F7B"/>
    <w:rsid w:val="00A91D34"/>
    <w:rsid w:val="00A929FA"/>
    <w:rsid w:val="00A93E95"/>
    <w:rsid w:val="00A94107"/>
    <w:rsid w:val="00A97331"/>
    <w:rsid w:val="00AA122D"/>
    <w:rsid w:val="00AA298E"/>
    <w:rsid w:val="00AB4326"/>
    <w:rsid w:val="00AB4A82"/>
    <w:rsid w:val="00AC1268"/>
    <w:rsid w:val="00AC345C"/>
    <w:rsid w:val="00AC440D"/>
    <w:rsid w:val="00AC591C"/>
    <w:rsid w:val="00AD09B2"/>
    <w:rsid w:val="00AD1A54"/>
    <w:rsid w:val="00AD3F98"/>
    <w:rsid w:val="00AD45BE"/>
    <w:rsid w:val="00AD5114"/>
    <w:rsid w:val="00AD6BA9"/>
    <w:rsid w:val="00AD6E3D"/>
    <w:rsid w:val="00AE0707"/>
    <w:rsid w:val="00AE0DDC"/>
    <w:rsid w:val="00AE14E9"/>
    <w:rsid w:val="00AE27AF"/>
    <w:rsid w:val="00AE28B9"/>
    <w:rsid w:val="00AE3585"/>
    <w:rsid w:val="00AE4054"/>
    <w:rsid w:val="00AE47A8"/>
    <w:rsid w:val="00AE5144"/>
    <w:rsid w:val="00AE6A06"/>
    <w:rsid w:val="00AF0742"/>
    <w:rsid w:val="00AF2621"/>
    <w:rsid w:val="00AF2731"/>
    <w:rsid w:val="00AF538A"/>
    <w:rsid w:val="00B002E6"/>
    <w:rsid w:val="00B00C1A"/>
    <w:rsid w:val="00B05158"/>
    <w:rsid w:val="00B05A47"/>
    <w:rsid w:val="00B107F7"/>
    <w:rsid w:val="00B116D0"/>
    <w:rsid w:val="00B131BE"/>
    <w:rsid w:val="00B138CE"/>
    <w:rsid w:val="00B178BA"/>
    <w:rsid w:val="00B2272D"/>
    <w:rsid w:val="00B244E3"/>
    <w:rsid w:val="00B25F3E"/>
    <w:rsid w:val="00B27856"/>
    <w:rsid w:val="00B27ABD"/>
    <w:rsid w:val="00B305AD"/>
    <w:rsid w:val="00B32CC7"/>
    <w:rsid w:val="00B337EC"/>
    <w:rsid w:val="00B35561"/>
    <w:rsid w:val="00B410DE"/>
    <w:rsid w:val="00B4180B"/>
    <w:rsid w:val="00B419CD"/>
    <w:rsid w:val="00B43076"/>
    <w:rsid w:val="00B46BD5"/>
    <w:rsid w:val="00B51173"/>
    <w:rsid w:val="00B5173F"/>
    <w:rsid w:val="00B52A5E"/>
    <w:rsid w:val="00B52FC3"/>
    <w:rsid w:val="00B53362"/>
    <w:rsid w:val="00B53A27"/>
    <w:rsid w:val="00B542CE"/>
    <w:rsid w:val="00B55A0E"/>
    <w:rsid w:val="00B5609B"/>
    <w:rsid w:val="00B570C9"/>
    <w:rsid w:val="00B578B1"/>
    <w:rsid w:val="00B61CA3"/>
    <w:rsid w:val="00B630CC"/>
    <w:rsid w:val="00B653E2"/>
    <w:rsid w:val="00B6709A"/>
    <w:rsid w:val="00B67373"/>
    <w:rsid w:val="00B71EED"/>
    <w:rsid w:val="00B7320E"/>
    <w:rsid w:val="00B738B6"/>
    <w:rsid w:val="00B771AA"/>
    <w:rsid w:val="00B803F5"/>
    <w:rsid w:val="00B80ECB"/>
    <w:rsid w:val="00B8175F"/>
    <w:rsid w:val="00B81FA7"/>
    <w:rsid w:val="00B847E6"/>
    <w:rsid w:val="00B87F6E"/>
    <w:rsid w:val="00B91A3A"/>
    <w:rsid w:val="00B91E69"/>
    <w:rsid w:val="00B93307"/>
    <w:rsid w:val="00B9338E"/>
    <w:rsid w:val="00B93CEC"/>
    <w:rsid w:val="00B93EF5"/>
    <w:rsid w:val="00B952DE"/>
    <w:rsid w:val="00B9611B"/>
    <w:rsid w:val="00B96436"/>
    <w:rsid w:val="00BA0379"/>
    <w:rsid w:val="00BA2E52"/>
    <w:rsid w:val="00BA6456"/>
    <w:rsid w:val="00BB083C"/>
    <w:rsid w:val="00BB1C9F"/>
    <w:rsid w:val="00BB1E51"/>
    <w:rsid w:val="00BB785B"/>
    <w:rsid w:val="00BC102B"/>
    <w:rsid w:val="00BD1445"/>
    <w:rsid w:val="00BD4FC6"/>
    <w:rsid w:val="00BD7584"/>
    <w:rsid w:val="00BD7E7A"/>
    <w:rsid w:val="00BE3154"/>
    <w:rsid w:val="00BE35A0"/>
    <w:rsid w:val="00BE67D2"/>
    <w:rsid w:val="00BE781F"/>
    <w:rsid w:val="00BE7FF1"/>
    <w:rsid w:val="00BF1E6E"/>
    <w:rsid w:val="00BF68FF"/>
    <w:rsid w:val="00BF6AEA"/>
    <w:rsid w:val="00BF7F97"/>
    <w:rsid w:val="00C00C2A"/>
    <w:rsid w:val="00C01AA7"/>
    <w:rsid w:val="00C05A32"/>
    <w:rsid w:val="00C1130F"/>
    <w:rsid w:val="00C12587"/>
    <w:rsid w:val="00C13A73"/>
    <w:rsid w:val="00C15792"/>
    <w:rsid w:val="00C15E77"/>
    <w:rsid w:val="00C17A69"/>
    <w:rsid w:val="00C2021B"/>
    <w:rsid w:val="00C20C3D"/>
    <w:rsid w:val="00C2257D"/>
    <w:rsid w:val="00C24896"/>
    <w:rsid w:val="00C250AE"/>
    <w:rsid w:val="00C272A7"/>
    <w:rsid w:val="00C27753"/>
    <w:rsid w:val="00C27CB5"/>
    <w:rsid w:val="00C30662"/>
    <w:rsid w:val="00C31F3B"/>
    <w:rsid w:val="00C31FA4"/>
    <w:rsid w:val="00C32099"/>
    <w:rsid w:val="00C34816"/>
    <w:rsid w:val="00C36835"/>
    <w:rsid w:val="00C4223F"/>
    <w:rsid w:val="00C422D7"/>
    <w:rsid w:val="00C50FC9"/>
    <w:rsid w:val="00C52EA2"/>
    <w:rsid w:val="00C53872"/>
    <w:rsid w:val="00C54C3A"/>
    <w:rsid w:val="00C56289"/>
    <w:rsid w:val="00C56385"/>
    <w:rsid w:val="00C63EF3"/>
    <w:rsid w:val="00C63FAB"/>
    <w:rsid w:val="00C64C48"/>
    <w:rsid w:val="00C65259"/>
    <w:rsid w:val="00C65E57"/>
    <w:rsid w:val="00C76698"/>
    <w:rsid w:val="00C76EA5"/>
    <w:rsid w:val="00C80A94"/>
    <w:rsid w:val="00C861D1"/>
    <w:rsid w:val="00C87ACB"/>
    <w:rsid w:val="00C91AAE"/>
    <w:rsid w:val="00C94AEC"/>
    <w:rsid w:val="00C95258"/>
    <w:rsid w:val="00C960E6"/>
    <w:rsid w:val="00C96DF6"/>
    <w:rsid w:val="00CA407F"/>
    <w:rsid w:val="00CB0FF4"/>
    <w:rsid w:val="00CB2788"/>
    <w:rsid w:val="00CB2C40"/>
    <w:rsid w:val="00CB49F0"/>
    <w:rsid w:val="00CB4AC7"/>
    <w:rsid w:val="00CB5049"/>
    <w:rsid w:val="00CB628C"/>
    <w:rsid w:val="00CC2587"/>
    <w:rsid w:val="00CC5DB8"/>
    <w:rsid w:val="00CD04AA"/>
    <w:rsid w:val="00CD2E60"/>
    <w:rsid w:val="00CD3322"/>
    <w:rsid w:val="00CD3996"/>
    <w:rsid w:val="00CD75C4"/>
    <w:rsid w:val="00CE0C2C"/>
    <w:rsid w:val="00CE41A9"/>
    <w:rsid w:val="00CE56C3"/>
    <w:rsid w:val="00CE5DE4"/>
    <w:rsid w:val="00CE747C"/>
    <w:rsid w:val="00CE79B8"/>
    <w:rsid w:val="00CE7F7E"/>
    <w:rsid w:val="00CF07A6"/>
    <w:rsid w:val="00CF2A5A"/>
    <w:rsid w:val="00CF2DD5"/>
    <w:rsid w:val="00CF4DB9"/>
    <w:rsid w:val="00CF759E"/>
    <w:rsid w:val="00CF7808"/>
    <w:rsid w:val="00D00112"/>
    <w:rsid w:val="00D03894"/>
    <w:rsid w:val="00D0592B"/>
    <w:rsid w:val="00D05DA7"/>
    <w:rsid w:val="00D06025"/>
    <w:rsid w:val="00D06FF6"/>
    <w:rsid w:val="00D11CFC"/>
    <w:rsid w:val="00D1549E"/>
    <w:rsid w:val="00D17AF8"/>
    <w:rsid w:val="00D21321"/>
    <w:rsid w:val="00D225DE"/>
    <w:rsid w:val="00D23A53"/>
    <w:rsid w:val="00D24F59"/>
    <w:rsid w:val="00D25ADC"/>
    <w:rsid w:val="00D25DEE"/>
    <w:rsid w:val="00D25F4E"/>
    <w:rsid w:val="00D2647C"/>
    <w:rsid w:val="00D26B99"/>
    <w:rsid w:val="00D307B7"/>
    <w:rsid w:val="00D317E7"/>
    <w:rsid w:val="00D324E9"/>
    <w:rsid w:val="00D347B0"/>
    <w:rsid w:val="00D3494E"/>
    <w:rsid w:val="00D40331"/>
    <w:rsid w:val="00D424E2"/>
    <w:rsid w:val="00D4255E"/>
    <w:rsid w:val="00D426C2"/>
    <w:rsid w:val="00D444C5"/>
    <w:rsid w:val="00D46574"/>
    <w:rsid w:val="00D5108A"/>
    <w:rsid w:val="00D5195D"/>
    <w:rsid w:val="00D51C26"/>
    <w:rsid w:val="00D538DA"/>
    <w:rsid w:val="00D53F2F"/>
    <w:rsid w:val="00D54AF1"/>
    <w:rsid w:val="00D56BC0"/>
    <w:rsid w:val="00D62B5A"/>
    <w:rsid w:val="00D6378B"/>
    <w:rsid w:val="00D65861"/>
    <w:rsid w:val="00D67F5F"/>
    <w:rsid w:val="00D70FE5"/>
    <w:rsid w:val="00D71A95"/>
    <w:rsid w:val="00D7517B"/>
    <w:rsid w:val="00D753D0"/>
    <w:rsid w:val="00D77329"/>
    <w:rsid w:val="00D83543"/>
    <w:rsid w:val="00D84F7F"/>
    <w:rsid w:val="00D852E3"/>
    <w:rsid w:val="00D85928"/>
    <w:rsid w:val="00D86F80"/>
    <w:rsid w:val="00D90EB3"/>
    <w:rsid w:val="00D927CC"/>
    <w:rsid w:val="00D92F55"/>
    <w:rsid w:val="00D93C94"/>
    <w:rsid w:val="00D94A36"/>
    <w:rsid w:val="00DA05F4"/>
    <w:rsid w:val="00DA0D28"/>
    <w:rsid w:val="00DA108B"/>
    <w:rsid w:val="00DA1756"/>
    <w:rsid w:val="00DA2432"/>
    <w:rsid w:val="00DA73E0"/>
    <w:rsid w:val="00DB0432"/>
    <w:rsid w:val="00DB109A"/>
    <w:rsid w:val="00DB372B"/>
    <w:rsid w:val="00DB5022"/>
    <w:rsid w:val="00DB6B0E"/>
    <w:rsid w:val="00DB6D07"/>
    <w:rsid w:val="00DB7965"/>
    <w:rsid w:val="00DC3161"/>
    <w:rsid w:val="00DC5857"/>
    <w:rsid w:val="00DC5E76"/>
    <w:rsid w:val="00DC7C52"/>
    <w:rsid w:val="00DD25DA"/>
    <w:rsid w:val="00DD26B7"/>
    <w:rsid w:val="00DD4185"/>
    <w:rsid w:val="00DD467E"/>
    <w:rsid w:val="00DD49E2"/>
    <w:rsid w:val="00DD6C01"/>
    <w:rsid w:val="00DE26C0"/>
    <w:rsid w:val="00DE2D47"/>
    <w:rsid w:val="00DE6032"/>
    <w:rsid w:val="00DF116E"/>
    <w:rsid w:val="00DF12C2"/>
    <w:rsid w:val="00DF3F02"/>
    <w:rsid w:val="00DF5079"/>
    <w:rsid w:val="00DF5F8A"/>
    <w:rsid w:val="00DF715C"/>
    <w:rsid w:val="00DF7A9E"/>
    <w:rsid w:val="00E040E2"/>
    <w:rsid w:val="00E0422C"/>
    <w:rsid w:val="00E048C5"/>
    <w:rsid w:val="00E109AA"/>
    <w:rsid w:val="00E12422"/>
    <w:rsid w:val="00E13183"/>
    <w:rsid w:val="00E142F3"/>
    <w:rsid w:val="00E20836"/>
    <w:rsid w:val="00E239B5"/>
    <w:rsid w:val="00E23A6D"/>
    <w:rsid w:val="00E2458E"/>
    <w:rsid w:val="00E25205"/>
    <w:rsid w:val="00E27552"/>
    <w:rsid w:val="00E27B96"/>
    <w:rsid w:val="00E309E9"/>
    <w:rsid w:val="00E32709"/>
    <w:rsid w:val="00E33AF7"/>
    <w:rsid w:val="00E34BAE"/>
    <w:rsid w:val="00E34EBF"/>
    <w:rsid w:val="00E35E24"/>
    <w:rsid w:val="00E40EEB"/>
    <w:rsid w:val="00E414D7"/>
    <w:rsid w:val="00E41AEA"/>
    <w:rsid w:val="00E42CF5"/>
    <w:rsid w:val="00E43940"/>
    <w:rsid w:val="00E46099"/>
    <w:rsid w:val="00E4631D"/>
    <w:rsid w:val="00E51E53"/>
    <w:rsid w:val="00E571CA"/>
    <w:rsid w:val="00E6034E"/>
    <w:rsid w:val="00E62322"/>
    <w:rsid w:val="00E63CB8"/>
    <w:rsid w:val="00E65160"/>
    <w:rsid w:val="00E654A6"/>
    <w:rsid w:val="00E674FE"/>
    <w:rsid w:val="00E70761"/>
    <w:rsid w:val="00E70A2C"/>
    <w:rsid w:val="00E71404"/>
    <w:rsid w:val="00E7285A"/>
    <w:rsid w:val="00E76942"/>
    <w:rsid w:val="00E81E4C"/>
    <w:rsid w:val="00E832A9"/>
    <w:rsid w:val="00E83DFC"/>
    <w:rsid w:val="00E84A09"/>
    <w:rsid w:val="00E871F4"/>
    <w:rsid w:val="00E91A1F"/>
    <w:rsid w:val="00E91A9F"/>
    <w:rsid w:val="00E93704"/>
    <w:rsid w:val="00E94A4E"/>
    <w:rsid w:val="00E94DEF"/>
    <w:rsid w:val="00E94F26"/>
    <w:rsid w:val="00E96527"/>
    <w:rsid w:val="00E9666F"/>
    <w:rsid w:val="00E96B21"/>
    <w:rsid w:val="00EA0CA4"/>
    <w:rsid w:val="00EA0ED6"/>
    <w:rsid w:val="00EA141F"/>
    <w:rsid w:val="00EA1565"/>
    <w:rsid w:val="00EA17E2"/>
    <w:rsid w:val="00EA5380"/>
    <w:rsid w:val="00EA5743"/>
    <w:rsid w:val="00EA5B3A"/>
    <w:rsid w:val="00EA6195"/>
    <w:rsid w:val="00EA6610"/>
    <w:rsid w:val="00EA6F2C"/>
    <w:rsid w:val="00EA7B76"/>
    <w:rsid w:val="00EB2946"/>
    <w:rsid w:val="00EB3A94"/>
    <w:rsid w:val="00EC0C04"/>
    <w:rsid w:val="00EC1A1B"/>
    <w:rsid w:val="00EC3B0B"/>
    <w:rsid w:val="00EC7AAE"/>
    <w:rsid w:val="00ED2D68"/>
    <w:rsid w:val="00ED38A0"/>
    <w:rsid w:val="00ED49F0"/>
    <w:rsid w:val="00ED701F"/>
    <w:rsid w:val="00ED7480"/>
    <w:rsid w:val="00EE271F"/>
    <w:rsid w:val="00EE2C24"/>
    <w:rsid w:val="00EE2E83"/>
    <w:rsid w:val="00EE41DE"/>
    <w:rsid w:val="00EE53A5"/>
    <w:rsid w:val="00EF004D"/>
    <w:rsid w:val="00EF390F"/>
    <w:rsid w:val="00EF3D79"/>
    <w:rsid w:val="00EF439E"/>
    <w:rsid w:val="00F066DA"/>
    <w:rsid w:val="00F067B4"/>
    <w:rsid w:val="00F06B1B"/>
    <w:rsid w:val="00F0796D"/>
    <w:rsid w:val="00F11196"/>
    <w:rsid w:val="00F12F35"/>
    <w:rsid w:val="00F13107"/>
    <w:rsid w:val="00F13129"/>
    <w:rsid w:val="00F1599D"/>
    <w:rsid w:val="00F2123D"/>
    <w:rsid w:val="00F2479B"/>
    <w:rsid w:val="00F26ACF"/>
    <w:rsid w:val="00F26D29"/>
    <w:rsid w:val="00F27050"/>
    <w:rsid w:val="00F272B7"/>
    <w:rsid w:val="00F31466"/>
    <w:rsid w:val="00F3370E"/>
    <w:rsid w:val="00F34883"/>
    <w:rsid w:val="00F400FF"/>
    <w:rsid w:val="00F4060F"/>
    <w:rsid w:val="00F44108"/>
    <w:rsid w:val="00F52BCC"/>
    <w:rsid w:val="00F55255"/>
    <w:rsid w:val="00F557A9"/>
    <w:rsid w:val="00F56433"/>
    <w:rsid w:val="00F60B5C"/>
    <w:rsid w:val="00F61186"/>
    <w:rsid w:val="00F6177B"/>
    <w:rsid w:val="00F6499A"/>
    <w:rsid w:val="00F659DA"/>
    <w:rsid w:val="00F65BCB"/>
    <w:rsid w:val="00F66561"/>
    <w:rsid w:val="00F72B0D"/>
    <w:rsid w:val="00F74685"/>
    <w:rsid w:val="00F759F6"/>
    <w:rsid w:val="00F75D9F"/>
    <w:rsid w:val="00F76939"/>
    <w:rsid w:val="00F76A16"/>
    <w:rsid w:val="00F80E84"/>
    <w:rsid w:val="00F82E1F"/>
    <w:rsid w:val="00F85733"/>
    <w:rsid w:val="00F90A4D"/>
    <w:rsid w:val="00F9442F"/>
    <w:rsid w:val="00F94C38"/>
    <w:rsid w:val="00F9506E"/>
    <w:rsid w:val="00FA061C"/>
    <w:rsid w:val="00FB18ED"/>
    <w:rsid w:val="00FB1AB6"/>
    <w:rsid w:val="00FB30CB"/>
    <w:rsid w:val="00FB4A5B"/>
    <w:rsid w:val="00FB6A6B"/>
    <w:rsid w:val="00FB6EB7"/>
    <w:rsid w:val="00FC0D0C"/>
    <w:rsid w:val="00FC4169"/>
    <w:rsid w:val="00FC4828"/>
    <w:rsid w:val="00FC674C"/>
    <w:rsid w:val="00FC6AC0"/>
    <w:rsid w:val="00FC7878"/>
    <w:rsid w:val="00FD011F"/>
    <w:rsid w:val="00FD0EB5"/>
    <w:rsid w:val="00FD113C"/>
    <w:rsid w:val="00FD2070"/>
    <w:rsid w:val="00FD2B9C"/>
    <w:rsid w:val="00FD5A50"/>
    <w:rsid w:val="00FE4BFB"/>
    <w:rsid w:val="00FF2BED"/>
    <w:rsid w:val="00FF4592"/>
    <w:rsid w:val="00FF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4F6EF"/>
  <w15:docId w15:val="{BCA9844D-3CF1-CC47-9697-22671AFD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09A"/>
    <w:pPr>
      <w:numPr>
        <w:numId w:val="1"/>
      </w:numPr>
      <w:spacing w:before="240" w:after="120" w:line="240" w:lineRule="auto"/>
      <w:outlineLvl w:val="0"/>
    </w:pPr>
    <w:rPr>
      <w:rFonts w:ascii="Arial" w:hAnsi="Arial" w:cs="Arial"/>
      <w:b/>
      <w:bCs/>
      <w:sz w:val="24"/>
      <w:szCs w:val="24"/>
    </w:rPr>
  </w:style>
  <w:style w:type="paragraph" w:styleId="Heading2">
    <w:name w:val="heading 2"/>
    <w:basedOn w:val="Normal"/>
    <w:next w:val="Normal"/>
    <w:link w:val="Heading2Char"/>
    <w:uiPriority w:val="9"/>
    <w:unhideWhenUsed/>
    <w:qFormat/>
    <w:rsid w:val="003C7D9F"/>
    <w:pPr>
      <w:spacing w:after="120" w:line="240" w:lineRule="auto"/>
      <w:ind w:firstLine="357"/>
      <w:outlineLvl w:val="1"/>
    </w:pPr>
    <w:rPr>
      <w:rFonts w:ascii="Arial" w:hAnsi="Arial" w:cs="Arial"/>
      <w:b/>
      <w:bCs/>
      <w:sz w:val="24"/>
      <w:szCs w:val="24"/>
    </w:rPr>
  </w:style>
  <w:style w:type="paragraph" w:styleId="Heading9">
    <w:name w:val="heading 9"/>
    <w:basedOn w:val="Normal"/>
    <w:next w:val="Normal"/>
    <w:link w:val="Heading9Char"/>
    <w:uiPriority w:val="9"/>
    <w:semiHidden/>
    <w:unhideWhenUsed/>
    <w:qFormat/>
    <w:rsid w:val="00EC1A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4DD"/>
  </w:style>
  <w:style w:type="paragraph" w:styleId="Footer">
    <w:name w:val="footer"/>
    <w:basedOn w:val="Normal"/>
    <w:link w:val="FooterChar"/>
    <w:uiPriority w:val="99"/>
    <w:unhideWhenUsed/>
    <w:rsid w:val="00116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4DD"/>
  </w:style>
  <w:style w:type="paragraph" w:styleId="BalloonText">
    <w:name w:val="Balloon Text"/>
    <w:basedOn w:val="Normal"/>
    <w:link w:val="BalloonTextChar"/>
    <w:uiPriority w:val="99"/>
    <w:semiHidden/>
    <w:unhideWhenUsed/>
    <w:rsid w:val="001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DD"/>
    <w:rPr>
      <w:rFonts w:ascii="Tahoma" w:hAnsi="Tahoma" w:cs="Tahoma"/>
      <w:sz w:val="16"/>
      <w:szCs w:val="16"/>
    </w:rPr>
  </w:style>
  <w:style w:type="paragraph" w:styleId="BodyText">
    <w:name w:val="Body Text"/>
    <w:basedOn w:val="Normal"/>
    <w:link w:val="BodyTextChar"/>
    <w:qFormat/>
    <w:rsid w:val="009E4814"/>
    <w:pPr>
      <w:spacing w:after="120" w:line="240" w:lineRule="auto"/>
      <w:ind w:left="357"/>
    </w:pPr>
    <w:rPr>
      <w:rFonts w:ascii="Arial" w:eastAsia="Times New Roman" w:hAnsi="Arial" w:cs="Arial"/>
      <w:color w:val="000000"/>
      <w:sz w:val="24"/>
      <w:szCs w:val="20"/>
    </w:rPr>
  </w:style>
  <w:style w:type="character" w:customStyle="1" w:styleId="BodyTextChar">
    <w:name w:val="Body Text Char"/>
    <w:basedOn w:val="DefaultParagraphFont"/>
    <w:link w:val="BodyText"/>
    <w:rsid w:val="009E4814"/>
    <w:rPr>
      <w:rFonts w:ascii="Arial" w:eastAsia="Times New Roman" w:hAnsi="Arial" w:cs="Arial"/>
      <w:color w:val="000000"/>
      <w:sz w:val="24"/>
      <w:szCs w:val="20"/>
    </w:rPr>
  </w:style>
  <w:style w:type="paragraph" w:styleId="ListParagraph">
    <w:name w:val="List Paragraph"/>
    <w:basedOn w:val="Normal"/>
    <w:link w:val="ListParagraphChar"/>
    <w:uiPriority w:val="34"/>
    <w:qFormat/>
    <w:rsid w:val="004F3710"/>
    <w:pPr>
      <w:spacing w:after="0" w:line="240" w:lineRule="auto"/>
      <w:ind w:left="72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3C7D9F"/>
    <w:rPr>
      <w:rFonts w:ascii="Arial" w:hAnsi="Arial" w:cs="Arial"/>
      <w:b/>
      <w:bCs/>
      <w:sz w:val="24"/>
      <w:szCs w:val="24"/>
    </w:rPr>
  </w:style>
  <w:style w:type="paragraph" w:styleId="NormalWeb">
    <w:name w:val="Normal (Web)"/>
    <w:basedOn w:val="Normal"/>
    <w:uiPriority w:val="99"/>
    <w:unhideWhenUsed/>
    <w:rsid w:val="005B41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C440D"/>
    <w:rPr>
      <w:color w:val="0000FF"/>
      <w:u w:val="single"/>
    </w:rPr>
  </w:style>
  <w:style w:type="character" w:customStyle="1" w:styleId="Heading9Char">
    <w:name w:val="Heading 9 Char"/>
    <w:basedOn w:val="DefaultParagraphFont"/>
    <w:link w:val="Heading9"/>
    <w:uiPriority w:val="9"/>
    <w:semiHidden/>
    <w:rsid w:val="00EC1A1B"/>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39"/>
    <w:rsid w:val="00EC1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709A"/>
    <w:rPr>
      <w:rFonts w:ascii="Arial" w:hAnsi="Arial" w:cs="Arial"/>
      <w:b/>
      <w:bCs/>
      <w:sz w:val="24"/>
      <w:szCs w:val="24"/>
    </w:rPr>
  </w:style>
  <w:style w:type="paragraph" w:customStyle="1" w:styleId="Default">
    <w:name w:val="Default"/>
    <w:rsid w:val="00B27ABD"/>
    <w:pPr>
      <w:autoSpaceDE w:val="0"/>
      <w:autoSpaceDN w:val="0"/>
      <w:adjustRightInd w:val="0"/>
      <w:spacing w:after="0" w:line="240" w:lineRule="auto"/>
    </w:pPr>
    <w:rPr>
      <w:rFonts w:ascii="Arial" w:hAnsi="Arial" w:cs="Arial"/>
      <w:color w:val="000000"/>
      <w:sz w:val="24"/>
      <w:szCs w:val="24"/>
    </w:rPr>
  </w:style>
  <w:style w:type="paragraph" w:customStyle="1" w:styleId="gdp">
    <w:name w:val="gd_p"/>
    <w:basedOn w:val="Normal"/>
    <w:uiPriority w:val="99"/>
    <w:rsid w:val="00A87F7B"/>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0021A"/>
    <w:rPr>
      <w:sz w:val="16"/>
      <w:szCs w:val="16"/>
    </w:rPr>
  </w:style>
  <w:style w:type="paragraph" w:styleId="CommentText">
    <w:name w:val="annotation text"/>
    <w:basedOn w:val="Normal"/>
    <w:link w:val="CommentTextChar"/>
    <w:uiPriority w:val="99"/>
    <w:semiHidden/>
    <w:unhideWhenUsed/>
    <w:rsid w:val="0040021A"/>
    <w:pPr>
      <w:spacing w:line="240" w:lineRule="auto"/>
    </w:pPr>
    <w:rPr>
      <w:sz w:val="20"/>
      <w:szCs w:val="20"/>
    </w:rPr>
  </w:style>
  <w:style w:type="character" w:customStyle="1" w:styleId="CommentTextChar">
    <w:name w:val="Comment Text Char"/>
    <w:basedOn w:val="DefaultParagraphFont"/>
    <w:link w:val="CommentText"/>
    <w:uiPriority w:val="99"/>
    <w:semiHidden/>
    <w:rsid w:val="0040021A"/>
    <w:rPr>
      <w:sz w:val="20"/>
      <w:szCs w:val="20"/>
    </w:rPr>
  </w:style>
  <w:style w:type="paragraph" w:styleId="CommentSubject">
    <w:name w:val="annotation subject"/>
    <w:basedOn w:val="CommentText"/>
    <w:next w:val="CommentText"/>
    <w:link w:val="CommentSubjectChar"/>
    <w:uiPriority w:val="99"/>
    <w:semiHidden/>
    <w:unhideWhenUsed/>
    <w:rsid w:val="0040021A"/>
    <w:rPr>
      <w:b/>
      <w:bCs/>
    </w:rPr>
  </w:style>
  <w:style w:type="character" w:customStyle="1" w:styleId="CommentSubjectChar">
    <w:name w:val="Comment Subject Char"/>
    <w:basedOn w:val="CommentTextChar"/>
    <w:link w:val="CommentSubject"/>
    <w:uiPriority w:val="99"/>
    <w:semiHidden/>
    <w:rsid w:val="0040021A"/>
    <w:rPr>
      <w:b/>
      <w:bCs/>
      <w:sz w:val="20"/>
      <w:szCs w:val="20"/>
    </w:rPr>
  </w:style>
  <w:style w:type="paragraph" w:styleId="PlainText">
    <w:name w:val="Plain Text"/>
    <w:basedOn w:val="Normal"/>
    <w:link w:val="PlainTextChar"/>
    <w:uiPriority w:val="99"/>
    <w:unhideWhenUsed/>
    <w:rsid w:val="00493EC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93ECB"/>
    <w:rPr>
      <w:rFonts w:ascii="Calibri" w:hAnsi="Calibri"/>
      <w:szCs w:val="21"/>
    </w:rPr>
  </w:style>
  <w:style w:type="paragraph" w:customStyle="1" w:styleId="IntroText">
    <w:name w:val="Intro Text"/>
    <w:basedOn w:val="BodyText"/>
    <w:uiPriority w:val="2"/>
    <w:qFormat/>
    <w:rsid w:val="00262E18"/>
    <w:pPr>
      <w:spacing w:after="57"/>
      <w:ind w:left="0"/>
    </w:pPr>
    <w:rPr>
      <w:rFonts w:eastAsiaTheme="minorHAnsi" w:cstheme="minorBidi"/>
      <w:color w:val="1F497D" w:themeColor="text2"/>
      <w:sz w:val="28"/>
      <w:szCs w:val="22"/>
      <w:lang w:val="en-US"/>
    </w:rPr>
  </w:style>
  <w:style w:type="character" w:styleId="Strong">
    <w:name w:val="Strong"/>
    <w:basedOn w:val="DefaultParagraphFont"/>
    <w:uiPriority w:val="22"/>
    <w:qFormat/>
    <w:rsid w:val="00725212"/>
    <w:rPr>
      <w:b/>
      <w:bCs/>
    </w:rPr>
  </w:style>
  <w:style w:type="paragraph" w:customStyle="1" w:styleId="body">
    <w:name w:val="body"/>
    <w:basedOn w:val="Normal"/>
    <w:uiPriority w:val="99"/>
    <w:rsid w:val="007C4425"/>
    <w:pPr>
      <w:spacing w:after="0" w:line="240" w:lineRule="auto"/>
    </w:pPr>
    <w:rPr>
      <w:rFonts w:ascii="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locked/>
    <w:rsid w:val="00C422D7"/>
    <w:rPr>
      <w:rFonts w:ascii="Times New Roman" w:eastAsia="Times New Roman" w:hAnsi="Times New Roman" w:cs="Times New Roman"/>
      <w:sz w:val="24"/>
      <w:szCs w:val="20"/>
    </w:rPr>
  </w:style>
  <w:style w:type="character" w:customStyle="1" w:styleId="Title1">
    <w:name w:val="Title1"/>
    <w:basedOn w:val="DefaultParagraphFont"/>
    <w:rsid w:val="008D36D1"/>
  </w:style>
  <w:style w:type="paragraph" w:customStyle="1" w:styleId="Bullet">
    <w:name w:val="Bullet"/>
    <w:basedOn w:val="ListParagraph"/>
    <w:uiPriority w:val="4"/>
    <w:qFormat/>
    <w:rsid w:val="00ED38A0"/>
    <w:pPr>
      <w:numPr>
        <w:numId w:val="3"/>
      </w:numPr>
      <w:spacing w:after="57" w:line="260" w:lineRule="exact"/>
    </w:pPr>
    <w:rPr>
      <w:rFonts w:ascii="Arial" w:eastAsiaTheme="minorHAnsi" w:hAnsi="Arial" w:cstheme="minorBidi"/>
      <w:sz w:val="22"/>
      <w:szCs w:val="22"/>
      <w:lang w:val="en-US"/>
    </w:rPr>
  </w:style>
  <w:style w:type="paragraph" w:customStyle="1" w:styleId="SubTitle">
    <w:name w:val="Sub Title"/>
    <w:basedOn w:val="Normal"/>
    <w:qFormat/>
    <w:rsid w:val="00ED38A0"/>
    <w:pPr>
      <w:spacing w:after="0" w:line="420" w:lineRule="exact"/>
      <w:ind w:right="2722"/>
    </w:pPr>
    <w:rPr>
      <w:rFonts w:ascii="Arial" w:hAnsi="Arial"/>
      <w:color w:val="4BACC6" w:themeColor="accent5"/>
      <w:sz w:val="36"/>
      <w:szCs w:val="36"/>
      <w:lang w:val="en-US"/>
    </w:rPr>
  </w:style>
  <w:style w:type="paragraph" w:customStyle="1" w:styleId="Subheading1">
    <w:name w:val="Sub heading 1"/>
    <w:basedOn w:val="Normal"/>
    <w:uiPriority w:val="2"/>
    <w:qFormat/>
    <w:rsid w:val="00D25DEE"/>
    <w:pPr>
      <w:spacing w:after="0" w:line="260" w:lineRule="exact"/>
    </w:pPr>
    <w:rPr>
      <w:rFonts w:ascii="Arial" w:hAnsi="Arial"/>
      <w:b/>
      <w:lang w:val="en-US"/>
    </w:rPr>
  </w:style>
  <w:style w:type="paragraph" w:customStyle="1" w:styleId="ReportTitle">
    <w:name w:val="Report Title"/>
    <w:qFormat/>
    <w:rsid w:val="004270BE"/>
    <w:pPr>
      <w:spacing w:after="0" w:line="240" w:lineRule="auto"/>
      <w:ind w:right="2552"/>
      <w:contextualSpacing/>
    </w:pPr>
    <w:rPr>
      <w:rFonts w:eastAsiaTheme="minorEastAsia"/>
      <w:sz w:val="88"/>
      <w:szCs w:val="88"/>
      <w:lang w:eastAsia="ko-KR"/>
    </w:rPr>
  </w:style>
  <w:style w:type="character" w:styleId="UnresolvedMention">
    <w:name w:val="Unresolved Mention"/>
    <w:basedOn w:val="DefaultParagraphFont"/>
    <w:uiPriority w:val="99"/>
    <w:semiHidden/>
    <w:unhideWhenUsed/>
    <w:rsid w:val="009B39EB"/>
    <w:rPr>
      <w:color w:val="605E5C"/>
      <w:shd w:val="clear" w:color="auto" w:fill="E1DFDD"/>
    </w:rPr>
  </w:style>
  <w:style w:type="character" w:styleId="FollowedHyperlink">
    <w:name w:val="FollowedHyperlink"/>
    <w:basedOn w:val="DefaultParagraphFont"/>
    <w:uiPriority w:val="99"/>
    <w:semiHidden/>
    <w:unhideWhenUsed/>
    <w:rsid w:val="00B00C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5024">
      <w:bodyDiv w:val="1"/>
      <w:marLeft w:val="0"/>
      <w:marRight w:val="0"/>
      <w:marTop w:val="0"/>
      <w:marBottom w:val="0"/>
      <w:divBdr>
        <w:top w:val="none" w:sz="0" w:space="0" w:color="auto"/>
        <w:left w:val="none" w:sz="0" w:space="0" w:color="auto"/>
        <w:bottom w:val="none" w:sz="0" w:space="0" w:color="auto"/>
        <w:right w:val="none" w:sz="0" w:space="0" w:color="auto"/>
      </w:divBdr>
    </w:div>
    <w:div w:id="43137510">
      <w:bodyDiv w:val="1"/>
      <w:marLeft w:val="0"/>
      <w:marRight w:val="0"/>
      <w:marTop w:val="0"/>
      <w:marBottom w:val="0"/>
      <w:divBdr>
        <w:top w:val="none" w:sz="0" w:space="0" w:color="auto"/>
        <w:left w:val="none" w:sz="0" w:space="0" w:color="auto"/>
        <w:bottom w:val="none" w:sz="0" w:space="0" w:color="auto"/>
        <w:right w:val="none" w:sz="0" w:space="0" w:color="auto"/>
      </w:divBdr>
    </w:div>
    <w:div w:id="122699708">
      <w:bodyDiv w:val="1"/>
      <w:marLeft w:val="0"/>
      <w:marRight w:val="0"/>
      <w:marTop w:val="0"/>
      <w:marBottom w:val="0"/>
      <w:divBdr>
        <w:top w:val="none" w:sz="0" w:space="0" w:color="auto"/>
        <w:left w:val="none" w:sz="0" w:space="0" w:color="auto"/>
        <w:bottom w:val="none" w:sz="0" w:space="0" w:color="auto"/>
        <w:right w:val="none" w:sz="0" w:space="0" w:color="auto"/>
      </w:divBdr>
    </w:div>
    <w:div w:id="145364804">
      <w:bodyDiv w:val="1"/>
      <w:marLeft w:val="0"/>
      <w:marRight w:val="0"/>
      <w:marTop w:val="0"/>
      <w:marBottom w:val="0"/>
      <w:divBdr>
        <w:top w:val="none" w:sz="0" w:space="0" w:color="auto"/>
        <w:left w:val="none" w:sz="0" w:space="0" w:color="auto"/>
        <w:bottom w:val="none" w:sz="0" w:space="0" w:color="auto"/>
        <w:right w:val="none" w:sz="0" w:space="0" w:color="auto"/>
      </w:divBdr>
    </w:div>
    <w:div w:id="151413523">
      <w:bodyDiv w:val="1"/>
      <w:marLeft w:val="0"/>
      <w:marRight w:val="0"/>
      <w:marTop w:val="0"/>
      <w:marBottom w:val="0"/>
      <w:divBdr>
        <w:top w:val="none" w:sz="0" w:space="0" w:color="auto"/>
        <w:left w:val="none" w:sz="0" w:space="0" w:color="auto"/>
        <w:bottom w:val="none" w:sz="0" w:space="0" w:color="auto"/>
        <w:right w:val="none" w:sz="0" w:space="0" w:color="auto"/>
      </w:divBdr>
    </w:div>
    <w:div w:id="176582060">
      <w:bodyDiv w:val="1"/>
      <w:marLeft w:val="0"/>
      <w:marRight w:val="0"/>
      <w:marTop w:val="0"/>
      <w:marBottom w:val="0"/>
      <w:divBdr>
        <w:top w:val="none" w:sz="0" w:space="0" w:color="auto"/>
        <w:left w:val="none" w:sz="0" w:space="0" w:color="auto"/>
        <w:bottom w:val="none" w:sz="0" w:space="0" w:color="auto"/>
        <w:right w:val="none" w:sz="0" w:space="0" w:color="auto"/>
      </w:divBdr>
    </w:div>
    <w:div w:id="192962410">
      <w:bodyDiv w:val="1"/>
      <w:marLeft w:val="0"/>
      <w:marRight w:val="0"/>
      <w:marTop w:val="0"/>
      <w:marBottom w:val="0"/>
      <w:divBdr>
        <w:top w:val="none" w:sz="0" w:space="0" w:color="auto"/>
        <w:left w:val="none" w:sz="0" w:space="0" w:color="auto"/>
        <w:bottom w:val="none" w:sz="0" w:space="0" w:color="auto"/>
        <w:right w:val="none" w:sz="0" w:space="0" w:color="auto"/>
      </w:divBdr>
    </w:div>
    <w:div w:id="222445909">
      <w:bodyDiv w:val="1"/>
      <w:marLeft w:val="0"/>
      <w:marRight w:val="0"/>
      <w:marTop w:val="0"/>
      <w:marBottom w:val="0"/>
      <w:divBdr>
        <w:top w:val="none" w:sz="0" w:space="0" w:color="auto"/>
        <w:left w:val="none" w:sz="0" w:space="0" w:color="auto"/>
        <w:bottom w:val="none" w:sz="0" w:space="0" w:color="auto"/>
        <w:right w:val="none" w:sz="0" w:space="0" w:color="auto"/>
      </w:divBdr>
    </w:div>
    <w:div w:id="231896616">
      <w:bodyDiv w:val="1"/>
      <w:marLeft w:val="0"/>
      <w:marRight w:val="0"/>
      <w:marTop w:val="0"/>
      <w:marBottom w:val="0"/>
      <w:divBdr>
        <w:top w:val="none" w:sz="0" w:space="0" w:color="auto"/>
        <w:left w:val="none" w:sz="0" w:space="0" w:color="auto"/>
        <w:bottom w:val="none" w:sz="0" w:space="0" w:color="auto"/>
        <w:right w:val="none" w:sz="0" w:space="0" w:color="auto"/>
      </w:divBdr>
    </w:div>
    <w:div w:id="248123775">
      <w:bodyDiv w:val="1"/>
      <w:marLeft w:val="0"/>
      <w:marRight w:val="0"/>
      <w:marTop w:val="0"/>
      <w:marBottom w:val="0"/>
      <w:divBdr>
        <w:top w:val="none" w:sz="0" w:space="0" w:color="auto"/>
        <w:left w:val="none" w:sz="0" w:space="0" w:color="auto"/>
        <w:bottom w:val="none" w:sz="0" w:space="0" w:color="auto"/>
        <w:right w:val="none" w:sz="0" w:space="0" w:color="auto"/>
      </w:divBdr>
    </w:div>
    <w:div w:id="283579131">
      <w:bodyDiv w:val="1"/>
      <w:marLeft w:val="0"/>
      <w:marRight w:val="0"/>
      <w:marTop w:val="0"/>
      <w:marBottom w:val="0"/>
      <w:divBdr>
        <w:top w:val="none" w:sz="0" w:space="0" w:color="auto"/>
        <w:left w:val="none" w:sz="0" w:space="0" w:color="auto"/>
        <w:bottom w:val="none" w:sz="0" w:space="0" w:color="auto"/>
        <w:right w:val="none" w:sz="0" w:space="0" w:color="auto"/>
      </w:divBdr>
    </w:div>
    <w:div w:id="290015902">
      <w:bodyDiv w:val="1"/>
      <w:marLeft w:val="0"/>
      <w:marRight w:val="0"/>
      <w:marTop w:val="0"/>
      <w:marBottom w:val="0"/>
      <w:divBdr>
        <w:top w:val="none" w:sz="0" w:space="0" w:color="auto"/>
        <w:left w:val="none" w:sz="0" w:space="0" w:color="auto"/>
        <w:bottom w:val="none" w:sz="0" w:space="0" w:color="auto"/>
        <w:right w:val="none" w:sz="0" w:space="0" w:color="auto"/>
      </w:divBdr>
    </w:div>
    <w:div w:id="300503155">
      <w:bodyDiv w:val="1"/>
      <w:marLeft w:val="0"/>
      <w:marRight w:val="0"/>
      <w:marTop w:val="0"/>
      <w:marBottom w:val="0"/>
      <w:divBdr>
        <w:top w:val="none" w:sz="0" w:space="0" w:color="auto"/>
        <w:left w:val="none" w:sz="0" w:space="0" w:color="auto"/>
        <w:bottom w:val="none" w:sz="0" w:space="0" w:color="auto"/>
        <w:right w:val="none" w:sz="0" w:space="0" w:color="auto"/>
      </w:divBdr>
    </w:div>
    <w:div w:id="342127498">
      <w:bodyDiv w:val="1"/>
      <w:marLeft w:val="0"/>
      <w:marRight w:val="0"/>
      <w:marTop w:val="0"/>
      <w:marBottom w:val="0"/>
      <w:divBdr>
        <w:top w:val="none" w:sz="0" w:space="0" w:color="auto"/>
        <w:left w:val="none" w:sz="0" w:space="0" w:color="auto"/>
        <w:bottom w:val="none" w:sz="0" w:space="0" w:color="auto"/>
        <w:right w:val="none" w:sz="0" w:space="0" w:color="auto"/>
      </w:divBdr>
    </w:div>
    <w:div w:id="347021215">
      <w:bodyDiv w:val="1"/>
      <w:marLeft w:val="0"/>
      <w:marRight w:val="0"/>
      <w:marTop w:val="0"/>
      <w:marBottom w:val="0"/>
      <w:divBdr>
        <w:top w:val="none" w:sz="0" w:space="0" w:color="auto"/>
        <w:left w:val="none" w:sz="0" w:space="0" w:color="auto"/>
        <w:bottom w:val="none" w:sz="0" w:space="0" w:color="auto"/>
        <w:right w:val="none" w:sz="0" w:space="0" w:color="auto"/>
      </w:divBdr>
    </w:div>
    <w:div w:id="357001095">
      <w:bodyDiv w:val="1"/>
      <w:marLeft w:val="0"/>
      <w:marRight w:val="0"/>
      <w:marTop w:val="0"/>
      <w:marBottom w:val="0"/>
      <w:divBdr>
        <w:top w:val="none" w:sz="0" w:space="0" w:color="auto"/>
        <w:left w:val="none" w:sz="0" w:space="0" w:color="auto"/>
        <w:bottom w:val="none" w:sz="0" w:space="0" w:color="auto"/>
        <w:right w:val="none" w:sz="0" w:space="0" w:color="auto"/>
      </w:divBdr>
    </w:div>
    <w:div w:id="371611891">
      <w:bodyDiv w:val="1"/>
      <w:marLeft w:val="0"/>
      <w:marRight w:val="0"/>
      <w:marTop w:val="0"/>
      <w:marBottom w:val="0"/>
      <w:divBdr>
        <w:top w:val="none" w:sz="0" w:space="0" w:color="auto"/>
        <w:left w:val="none" w:sz="0" w:space="0" w:color="auto"/>
        <w:bottom w:val="none" w:sz="0" w:space="0" w:color="auto"/>
        <w:right w:val="none" w:sz="0" w:space="0" w:color="auto"/>
      </w:divBdr>
    </w:div>
    <w:div w:id="373428728">
      <w:bodyDiv w:val="1"/>
      <w:marLeft w:val="0"/>
      <w:marRight w:val="0"/>
      <w:marTop w:val="0"/>
      <w:marBottom w:val="0"/>
      <w:divBdr>
        <w:top w:val="none" w:sz="0" w:space="0" w:color="auto"/>
        <w:left w:val="none" w:sz="0" w:space="0" w:color="auto"/>
        <w:bottom w:val="none" w:sz="0" w:space="0" w:color="auto"/>
        <w:right w:val="none" w:sz="0" w:space="0" w:color="auto"/>
      </w:divBdr>
    </w:div>
    <w:div w:id="398331804">
      <w:bodyDiv w:val="1"/>
      <w:marLeft w:val="0"/>
      <w:marRight w:val="0"/>
      <w:marTop w:val="0"/>
      <w:marBottom w:val="0"/>
      <w:divBdr>
        <w:top w:val="none" w:sz="0" w:space="0" w:color="auto"/>
        <w:left w:val="none" w:sz="0" w:space="0" w:color="auto"/>
        <w:bottom w:val="none" w:sz="0" w:space="0" w:color="auto"/>
        <w:right w:val="none" w:sz="0" w:space="0" w:color="auto"/>
      </w:divBdr>
    </w:div>
    <w:div w:id="427391157">
      <w:bodyDiv w:val="1"/>
      <w:marLeft w:val="0"/>
      <w:marRight w:val="0"/>
      <w:marTop w:val="0"/>
      <w:marBottom w:val="0"/>
      <w:divBdr>
        <w:top w:val="none" w:sz="0" w:space="0" w:color="auto"/>
        <w:left w:val="none" w:sz="0" w:space="0" w:color="auto"/>
        <w:bottom w:val="none" w:sz="0" w:space="0" w:color="auto"/>
        <w:right w:val="none" w:sz="0" w:space="0" w:color="auto"/>
      </w:divBdr>
    </w:div>
    <w:div w:id="434136093">
      <w:bodyDiv w:val="1"/>
      <w:marLeft w:val="0"/>
      <w:marRight w:val="0"/>
      <w:marTop w:val="0"/>
      <w:marBottom w:val="0"/>
      <w:divBdr>
        <w:top w:val="none" w:sz="0" w:space="0" w:color="auto"/>
        <w:left w:val="none" w:sz="0" w:space="0" w:color="auto"/>
        <w:bottom w:val="none" w:sz="0" w:space="0" w:color="auto"/>
        <w:right w:val="none" w:sz="0" w:space="0" w:color="auto"/>
      </w:divBdr>
    </w:div>
    <w:div w:id="474376475">
      <w:bodyDiv w:val="1"/>
      <w:marLeft w:val="0"/>
      <w:marRight w:val="0"/>
      <w:marTop w:val="0"/>
      <w:marBottom w:val="0"/>
      <w:divBdr>
        <w:top w:val="none" w:sz="0" w:space="0" w:color="auto"/>
        <w:left w:val="none" w:sz="0" w:space="0" w:color="auto"/>
        <w:bottom w:val="none" w:sz="0" w:space="0" w:color="auto"/>
        <w:right w:val="none" w:sz="0" w:space="0" w:color="auto"/>
      </w:divBdr>
    </w:div>
    <w:div w:id="477191086">
      <w:bodyDiv w:val="1"/>
      <w:marLeft w:val="0"/>
      <w:marRight w:val="0"/>
      <w:marTop w:val="0"/>
      <w:marBottom w:val="0"/>
      <w:divBdr>
        <w:top w:val="none" w:sz="0" w:space="0" w:color="auto"/>
        <w:left w:val="none" w:sz="0" w:space="0" w:color="auto"/>
        <w:bottom w:val="none" w:sz="0" w:space="0" w:color="auto"/>
        <w:right w:val="none" w:sz="0" w:space="0" w:color="auto"/>
      </w:divBdr>
    </w:div>
    <w:div w:id="498273526">
      <w:bodyDiv w:val="1"/>
      <w:marLeft w:val="0"/>
      <w:marRight w:val="0"/>
      <w:marTop w:val="0"/>
      <w:marBottom w:val="0"/>
      <w:divBdr>
        <w:top w:val="none" w:sz="0" w:space="0" w:color="auto"/>
        <w:left w:val="none" w:sz="0" w:space="0" w:color="auto"/>
        <w:bottom w:val="none" w:sz="0" w:space="0" w:color="auto"/>
        <w:right w:val="none" w:sz="0" w:space="0" w:color="auto"/>
      </w:divBdr>
    </w:div>
    <w:div w:id="499275615">
      <w:bodyDiv w:val="1"/>
      <w:marLeft w:val="0"/>
      <w:marRight w:val="0"/>
      <w:marTop w:val="0"/>
      <w:marBottom w:val="0"/>
      <w:divBdr>
        <w:top w:val="none" w:sz="0" w:space="0" w:color="auto"/>
        <w:left w:val="none" w:sz="0" w:space="0" w:color="auto"/>
        <w:bottom w:val="none" w:sz="0" w:space="0" w:color="auto"/>
        <w:right w:val="none" w:sz="0" w:space="0" w:color="auto"/>
      </w:divBdr>
    </w:div>
    <w:div w:id="505947066">
      <w:bodyDiv w:val="1"/>
      <w:marLeft w:val="0"/>
      <w:marRight w:val="0"/>
      <w:marTop w:val="0"/>
      <w:marBottom w:val="0"/>
      <w:divBdr>
        <w:top w:val="none" w:sz="0" w:space="0" w:color="auto"/>
        <w:left w:val="none" w:sz="0" w:space="0" w:color="auto"/>
        <w:bottom w:val="none" w:sz="0" w:space="0" w:color="auto"/>
        <w:right w:val="none" w:sz="0" w:space="0" w:color="auto"/>
      </w:divBdr>
    </w:div>
    <w:div w:id="518349611">
      <w:bodyDiv w:val="1"/>
      <w:marLeft w:val="0"/>
      <w:marRight w:val="0"/>
      <w:marTop w:val="0"/>
      <w:marBottom w:val="0"/>
      <w:divBdr>
        <w:top w:val="none" w:sz="0" w:space="0" w:color="auto"/>
        <w:left w:val="none" w:sz="0" w:space="0" w:color="auto"/>
        <w:bottom w:val="none" w:sz="0" w:space="0" w:color="auto"/>
        <w:right w:val="none" w:sz="0" w:space="0" w:color="auto"/>
      </w:divBdr>
    </w:div>
    <w:div w:id="519393456">
      <w:bodyDiv w:val="1"/>
      <w:marLeft w:val="0"/>
      <w:marRight w:val="0"/>
      <w:marTop w:val="0"/>
      <w:marBottom w:val="0"/>
      <w:divBdr>
        <w:top w:val="none" w:sz="0" w:space="0" w:color="auto"/>
        <w:left w:val="none" w:sz="0" w:space="0" w:color="auto"/>
        <w:bottom w:val="none" w:sz="0" w:space="0" w:color="auto"/>
        <w:right w:val="none" w:sz="0" w:space="0" w:color="auto"/>
      </w:divBdr>
    </w:div>
    <w:div w:id="519973413">
      <w:bodyDiv w:val="1"/>
      <w:marLeft w:val="0"/>
      <w:marRight w:val="0"/>
      <w:marTop w:val="0"/>
      <w:marBottom w:val="0"/>
      <w:divBdr>
        <w:top w:val="none" w:sz="0" w:space="0" w:color="auto"/>
        <w:left w:val="none" w:sz="0" w:space="0" w:color="auto"/>
        <w:bottom w:val="none" w:sz="0" w:space="0" w:color="auto"/>
        <w:right w:val="none" w:sz="0" w:space="0" w:color="auto"/>
      </w:divBdr>
    </w:div>
    <w:div w:id="520313502">
      <w:bodyDiv w:val="1"/>
      <w:marLeft w:val="0"/>
      <w:marRight w:val="0"/>
      <w:marTop w:val="0"/>
      <w:marBottom w:val="0"/>
      <w:divBdr>
        <w:top w:val="none" w:sz="0" w:space="0" w:color="auto"/>
        <w:left w:val="none" w:sz="0" w:space="0" w:color="auto"/>
        <w:bottom w:val="none" w:sz="0" w:space="0" w:color="auto"/>
        <w:right w:val="none" w:sz="0" w:space="0" w:color="auto"/>
      </w:divBdr>
    </w:div>
    <w:div w:id="527566220">
      <w:bodyDiv w:val="1"/>
      <w:marLeft w:val="0"/>
      <w:marRight w:val="0"/>
      <w:marTop w:val="0"/>
      <w:marBottom w:val="0"/>
      <w:divBdr>
        <w:top w:val="none" w:sz="0" w:space="0" w:color="auto"/>
        <w:left w:val="none" w:sz="0" w:space="0" w:color="auto"/>
        <w:bottom w:val="none" w:sz="0" w:space="0" w:color="auto"/>
        <w:right w:val="none" w:sz="0" w:space="0" w:color="auto"/>
      </w:divBdr>
    </w:div>
    <w:div w:id="559363337">
      <w:bodyDiv w:val="1"/>
      <w:marLeft w:val="0"/>
      <w:marRight w:val="0"/>
      <w:marTop w:val="0"/>
      <w:marBottom w:val="0"/>
      <w:divBdr>
        <w:top w:val="none" w:sz="0" w:space="0" w:color="auto"/>
        <w:left w:val="none" w:sz="0" w:space="0" w:color="auto"/>
        <w:bottom w:val="none" w:sz="0" w:space="0" w:color="auto"/>
        <w:right w:val="none" w:sz="0" w:space="0" w:color="auto"/>
      </w:divBdr>
    </w:div>
    <w:div w:id="568030738">
      <w:bodyDiv w:val="1"/>
      <w:marLeft w:val="0"/>
      <w:marRight w:val="0"/>
      <w:marTop w:val="0"/>
      <w:marBottom w:val="0"/>
      <w:divBdr>
        <w:top w:val="none" w:sz="0" w:space="0" w:color="auto"/>
        <w:left w:val="none" w:sz="0" w:space="0" w:color="auto"/>
        <w:bottom w:val="none" w:sz="0" w:space="0" w:color="auto"/>
        <w:right w:val="none" w:sz="0" w:space="0" w:color="auto"/>
      </w:divBdr>
    </w:div>
    <w:div w:id="571425683">
      <w:bodyDiv w:val="1"/>
      <w:marLeft w:val="0"/>
      <w:marRight w:val="0"/>
      <w:marTop w:val="0"/>
      <w:marBottom w:val="0"/>
      <w:divBdr>
        <w:top w:val="none" w:sz="0" w:space="0" w:color="auto"/>
        <w:left w:val="none" w:sz="0" w:space="0" w:color="auto"/>
        <w:bottom w:val="none" w:sz="0" w:space="0" w:color="auto"/>
        <w:right w:val="none" w:sz="0" w:space="0" w:color="auto"/>
      </w:divBdr>
    </w:div>
    <w:div w:id="592784670">
      <w:bodyDiv w:val="1"/>
      <w:marLeft w:val="0"/>
      <w:marRight w:val="0"/>
      <w:marTop w:val="0"/>
      <w:marBottom w:val="0"/>
      <w:divBdr>
        <w:top w:val="none" w:sz="0" w:space="0" w:color="auto"/>
        <w:left w:val="none" w:sz="0" w:space="0" w:color="auto"/>
        <w:bottom w:val="none" w:sz="0" w:space="0" w:color="auto"/>
        <w:right w:val="none" w:sz="0" w:space="0" w:color="auto"/>
      </w:divBdr>
    </w:div>
    <w:div w:id="600376028">
      <w:bodyDiv w:val="1"/>
      <w:marLeft w:val="0"/>
      <w:marRight w:val="0"/>
      <w:marTop w:val="0"/>
      <w:marBottom w:val="0"/>
      <w:divBdr>
        <w:top w:val="none" w:sz="0" w:space="0" w:color="auto"/>
        <w:left w:val="none" w:sz="0" w:space="0" w:color="auto"/>
        <w:bottom w:val="none" w:sz="0" w:space="0" w:color="auto"/>
        <w:right w:val="none" w:sz="0" w:space="0" w:color="auto"/>
      </w:divBdr>
    </w:div>
    <w:div w:id="611396840">
      <w:bodyDiv w:val="1"/>
      <w:marLeft w:val="0"/>
      <w:marRight w:val="0"/>
      <w:marTop w:val="0"/>
      <w:marBottom w:val="0"/>
      <w:divBdr>
        <w:top w:val="none" w:sz="0" w:space="0" w:color="auto"/>
        <w:left w:val="none" w:sz="0" w:space="0" w:color="auto"/>
        <w:bottom w:val="none" w:sz="0" w:space="0" w:color="auto"/>
        <w:right w:val="none" w:sz="0" w:space="0" w:color="auto"/>
      </w:divBdr>
    </w:div>
    <w:div w:id="615674602">
      <w:bodyDiv w:val="1"/>
      <w:marLeft w:val="0"/>
      <w:marRight w:val="0"/>
      <w:marTop w:val="0"/>
      <w:marBottom w:val="0"/>
      <w:divBdr>
        <w:top w:val="none" w:sz="0" w:space="0" w:color="auto"/>
        <w:left w:val="none" w:sz="0" w:space="0" w:color="auto"/>
        <w:bottom w:val="none" w:sz="0" w:space="0" w:color="auto"/>
        <w:right w:val="none" w:sz="0" w:space="0" w:color="auto"/>
      </w:divBdr>
    </w:div>
    <w:div w:id="618680511">
      <w:bodyDiv w:val="1"/>
      <w:marLeft w:val="0"/>
      <w:marRight w:val="0"/>
      <w:marTop w:val="0"/>
      <w:marBottom w:val="0"/>
      <w:divBdr>
        <w:top w:val="none" w:sz="0" w:space="0" w:color="auto"/>
        <w:left w:val="none" w:sz="0" w:space="0" w:color="auto"/>
        <w:bottom w:val="none" w:sz="0" w:space="0" w:color="auto"/>
        <w:right w:val="none" w:sz="0" w:space="0" w:color="auto"/>
      </w:divBdr>
    </w:div>
    <w:div w:id="620652150">
      <w:bodyDiv w:val="1"/>
      <w:marLeft w:val="0"/>
      <w:marRight w:val="0"/>
      <w:marTop w:val="0"/>
      <w:marBottom w:val="0"/>
      <w:divBdr>
        <w:top w:val="none" w:sz="0" w:space="0" w:color="auto"/>
        <w:left w:val="none" w:sz="0" w:space="0" w:color="auto"/>
        <w:bottom w:val="none" w:sz="0" w:space="0" w:color="auto"/>
        <w:right w:val="none" w:sz="0" w:space="0" w:color="auto"/>
      </w:divBdr>
    </w:div>
    <w:div w:id="623120685">
      <w:bodyDiv w:val="1"/>
      <w:marLeft w:val="0"/>
      <w:marRight w:val="0"/>
      <w:marTop w:val="0"/>
      <w:marBottom w:val="0"/>
      <w:divBdr>
        <w:top w:val="none" w:sz="0" w:space="0" w:color="auto"/>
        <w:left w:val="none" w:sz="0" w:space="0" w:color="auto"/>
        <w:bottom w:val="none" w:sz="0" w:space="0" w:color="auto"/>
        <w:right w:val="none" w:sz="0" w:space="0" w:color="auto"/>
      </w:divBdr>
    </w:div>
    <w:div w:id="623732261">
      <w:bodyDiv w:val="1"/>
      <w:marLeft w:val="0"/>
      <w:marRight w:val="0"/>
      <w:marTop w:val="0"/>
      <w:marBottom w:val="0"/>
      <w:divBdr>
        <w:top w:val="none" w:sz="0" w:space="0" w:color="auto"/>
        <w:left w:val="none" w:sz="0" w:space="0" w:color="auto"/>
        <w:bottom w:val="none" w:sz="0" w:space="0" w:color="auto"/>
        <w:right w:val="none" w:sz="0" w:space="0" w:color="auto"/>
      </w:divBdr>
    </w:div>
    <w:div w:id="634944532">
      <w:bodyDiv w:val="1"/>
      <w:marLeft w:val="0"/>
      <w:marRight w:val="0"/>
      <w:marTop w:val="0"/>
      <w:marBottom w:val="0"/>
      <w:divBdr>
        <w:top w:val="none" w:sz="0" w:space="0" w:color="auto"/>
        <w:left w:val="none" w:sz="0" w:space="0" w:color="auto"/>
        <w:bottom w:val="none" w:sz="0" w:space="0" w:color="auto"/>
        <w:right w:val="none" w:sz="0" w:space="0" w:color="auto"/>
      </w:divBdr>
    </w:div>
    <w:div w:id="640618941">
      <w:bodyDiv w:val="1"/>
      <w:marLeft w:val="0"/>
      <w:marRight w:val="0"/>
      <w:marTop w:val="0"/>
      <w:marBottom w:val="0"/>
      <w:divBdr>
        <w:top w:val="none" w:sz="0" w:space="0" w:color="auto"/>
        <w:left w:val="none" w:sz="0" w:space="0" w:color="auto"/>
        <w:bottom w:val="none" w:sz="0" w:space="0" w:color="auto"/>
        <w:right w:val="none" w:sz="0" w:space="0" w:color="auto"/>
      </w:divBdr>
    </w:div>
    <w:div w:id="657878749">
      <w:bodyDiv w:val="1"/>
      <w:marLeft w:val="0"/>
      <w:marRight w:val="0"/>
      <w:marTop w:val="0"/>
      <w:marBottom w:val="0"/>
      <w:divBdr>
        <w:top w:val="none" w:sz="0" w:space="0" w:color="auto"/>
        <w:left w:val="none" w:sz="0" w:space="0" w:color="auto"/>
        <w:bottom w:val="none" w:sz="0" w:space="0" w:color="auto"/>
        <w:right w:val="none" w:sz="0" w:space="0" w:color="auto"/>
      </w:divBdr>
    </w:div>
    <w:div w:id="679550352">
      <w:bodyDiv w:val="1"/>
      <w:marLeft w:val="0"/>
      <w:marRight w:val="0"/>
      <w:marTop w:val="0"/>
      <w:marBottom w:val="0"/>
      <w:divBdr>
        <w:top w:val="none" w:sz="0" w:space="0" w:color="auto"/>
        <w:left w:val="none" w:sz="0" w:space="0" w:color="auto"/>
        <w:bottom w:val="none" w:sz="0" w:space="0" w:color="auto"/>
        <w:right w:val="none" w:sz="0" w:space="0" w:color="auto"/>
      </w:divBdr>
    </w:div>
    <w:div w:id="682362424">
      <w:bodyDiv w:val="1"/>
      <w:marLeft w:val="0"/>
      <w:marRight w:val="0"/>
      <w:marTop w:val="0"/>
      <w:marBottom w:val="0"/>
      <w:divBdr>
        <w:top w:val="none" w:sz="0" w:space="0" w:color="auto"/>
        <w:left w:val="none" w:sz="0" w:space="0" w:color="auto"/>
        <w:bottom w:val="none" w:sz="0" w:space="0" w:color="auto"/>
        <w:right w:val="none" w:sz="0" w:space="0" w:color="auto"/>
      </w:divBdr>
    </w:div>
    <w:div w:id="684597545">
      <w:bodyDiv w:val="1"/>
      <w:marLeft w:val="0"/>
      <w:marRight w:val="0"/>
      <w:marTop w:val="0"/>
      <w:marBottom w:val="0"/>
      <w:divBdr>
        <w:top w:val="none" w:sz="0" w:space="0" w:color="auto"/>
        <w:left w:val="none" w:sz="0" w:space="0" w:color="auto"/>
        <w:bottom w:val="none" w:sz="0" w:space="0" w:color="auto"/>
        <w:right w:val="none" w:sz="0" w:space="0" w:color="auto"/>
      </w:divBdr>
    </w:div>
    <w:div w:id="707414107">
      <w:bodyDiv w:val="1"/>
      <w:marLeft w:val="0"/>
      <w:marRight w:val="0"/>
      <w:marTop w:val="0"/>
      <w:marBottom w:val="0"/>
      <w:divBdr>
        <w:top w:val="none" w:sz="0" w:space="0" w:color="auto"/>
        <w:left w:val="none" w:sz="0" w:space="0" w:color="auto"/>
        <w:bottom w:val="none" w:sz="0" w:space="0" w:color="auto"/>
        <w:right w:val="none" w:sz="0" w:space="0" w:color="auto"/>
      </w:divBdr>
    </w:div>
    <w:div w:id="713237292">
      <w:bodyDiv w:val="1"/>
      <w:marLeft w:val="0"/>
      <w:marRight w:val="0"/>
      <w:marTop w:val="0"/>
      <w:marBottom w:val="0"/>
      <w:divBdr>
        <w:top w:val="none" w:sz="0" w:space="0" w:color="auto"/>
        <w:left w:val="none" w:sz="0" w:space="0" w:color="auto"/>
        <w:bottom w:val="none" w:sz="0" w:space="0" w:color="auto"/>
        <w:right w:val="none" w:sz="0" w:space="0" w:color="auto"/>
      </w:divBdr>
    </w:div>
    <w:div w:id="718700464">
      <w:bodyDiv w:val="1"/>
      <w:marLeft w:val="0"/>
      <w:marRight w:val="0"/>
      <w:marTop w:val="0"/>
      <w:marBottom w:val="0"/>
      <w:divBdr>
        <w:top w:val="none" w:sz="0" w:space="0" w:color="auto"/>
        <w:left w:val="none" w:sz="0" w:space="0" w:color="auto"/>
        <w:bottom w:val="none" w:sz="0" w:space="0" w:color="auto"/>
        <w:right w:val="none" w:sz="0" w:space="0" w:color="auto"/>
      </w:divBdr>
    </w:div>
    <w:div w:id="723792769">
      <w:bodyDiv w:val="1"/>
      <w:marLeft w:val="0"/>
      <w:marRight w:val="0"/>
      <w:marTop w:val="0"/>
      <w:marBottom w:val="0"/>
      <w:divBdr>
        <w:top w:val="none" w:sz="0" w:space="0" w:color="auto"/>
        <w:left w:val="none" w:sz="0" w:space="0" w:color="auto"/>
        <w:bottom w:val="none" w:sz="0" w:space="0" w:color="auto"/>
        <w:right w:val="none" w:sz="0" w:space="0" w:color="auto"/>
      </w:divBdr>
    </w:div>
    <w:div w:id="731390221">
      <w:bodyDiv w:val="1"/>
      <w:marLeft w:val="0"/>
      <w:marRight w:val="0"/>
      <w:marTop w:val="0"/>
      <w:marBottom w:val="0"/>
      <w:divBdr>
        <w:top w:val="none" w:sz="0" w:space="0" w:color="auto"/>
        <w:left w:val="none" w:sz="0" w:space="0" w:color="auto"/>
        <w:bottom w:val="none" w:sz="0" w:space="0" w:color="auto"/>
        <w:right w:val="none" w:sz="0" w:space="0" w:color="auto"/>
      </w:divBdr>
    </w:div>
    <w:div w:id="742799609">
      <w:bodyDiv w:val="1"/>
      <w:marLeft w:val="0"/>
      <w:marRight w:val="0"/>
      <w:marTop w:val="0"/>
      <w:marBottom w:val="0"/>
      <w:divBdr>
        <w:top w:val="none" w:sz="0" w:space="0" w:color="auto"/>
        <w:left w:val="none" w:sz="0" w:space="0" w:color="auto"/>
        <w:bottom w:val="none" w:sz="0" w:space="0" w:color="auto"/>
        <w:right w:val="none" w:sz="0" w:space="0" w:color="auto"/>
      </w:divBdr>
    </w:div>
    <w:div w:id="744450895">
      <w:bodyDiv w:val="1"/>
      <w:marLeft w:val="0"/>
      <w:marRight w:val="0"/>
      <w:marTop w:val="0"/>
      <w:marBottom w:val="0"/>
      <w:divBdr>
        <w:top w:val="none" w:sz="0" w:space="0" w:color="auto"/>
        <w:left w:val="none" w:sz="0" w:space="0" w:color="auto"/>
        <w:bottom w:val="none" w:sz="0" w:space="0" w:color="auto"/>
        <w:right w:val="none" w:sz="0" w:space="0" w:color="auto"/>
      </w:divBdr>
    </w:div>
    <w:div w:id="744842997">
      <w:bodyDiv w:val="1"/>
      <w:marLeft w:val="0"/>
      <w:marRight w:val="0"/>
      <w:marTop w:val="0"/>
      <w:marBottom w:val="0"/>
      <w:divBdr>
        <w:top w:val="none" w:sz="0" w:space="0" w:color="auto"/>
        <w:left w:val="none" w:sz="0" w:space="0" w:color="auto"/>
        <w:bottom w:val="none" w:sz="0" w:space="0" w:color="auto"/>
        <w:right w:val="none" w:sz="0" w:space="0" w:color="auto"/>
      </w:divBdr>
    </w:div>
    <w:div w:id="751895382">
      <w:bodyDiv w:val="1"/>
      <w:marLeft w:val="0"/>
      <w:marRight w:val="0"/>
      <w:marTop w:val="0"/>
      <w:marBottom w:val="0"/>
      <w:divBdr>
        <w:top w:val="none" w:sz="0" w:space="0" w:color="auto"/>
        <w:left w:val="none" w:sz="0" w:space="0" w:color="auto"/>
        <w:bottom w:val="none" w:sz="0" w:space="0" w:color="auto"/>
        <w:right w:val="none" w:sz="0" w:space="0" w:color="auto"/>
      </w:divBdr>
    </w:div>
    <w:div w:id="778140452">
      <w:bodyDiv w:val="1"/>
      <w:marLeft w:val="0"/>
      <w:marRight w:val="0"/>
      <w:marTop w:val="0"/>
      <w:marBottom w:val="0"/>
      <w:divBdr>
        <w:top w:val="none" w:sz="0" w:space="0" w:color="auto"/>
        <w:left w:val="none" w:sz="0" w:space="0" w:color="auto"/>
        <w:bottom w:val="none" w:sz="0" w:space="0" w:color="auto"/>
        <w:right w:val="none" w:sz="0" w:space="0" w:color="auto"/>
      </w:divBdr>
    </w:div>
    <w:div w:id="796223020">
      <w:bodyDiv w:val="1"/>
      <w:marLeft w:val="0"/>
      <w:marRight w:val="0"/>
      <w:marTop w:val="0"/>
      <w:marBottom w:val="0"/>
      <w:divBdr>
        <w:top w:val="none" w:sz="0" w:space="0" w:color="auto"/>
        <w:left w:val="none" w:sz="0" w:space="0" w:color="auto"/>
        <w:bottom w:val="none" w:sz="0" w:space="0" w:color="auto"/>
        <w:right w:val="none" w:sz="0" w:space="0" w:color="auto"/>
      </w:divBdr>
    </w:div>
    <w:div w:id="821968532">
      <w:bodyDiv w:val="1"/>
      <w:marLeft w:val="0"/>
      <w:marRight w:val="0"/>
      <w:marTop w:val="0"/>
      <w:marBottom w:val="0"/>
      <w:divBdr>
        <w:top w:val="none" w:sz="0" w:space="0" w:color="auto"/>
        <w:left w:val="none" w:sz="0" w:space="0" w:color="auto"/>
        <w:bottom w:val="none" w:sz="0" w:space="0" w:color="auto"/>
        <w:right w:val="none" w:sz="0" w:space="0" w:color="auto"/>
      </w:divBdr>
    </w:div>
    <w:div w:id="832641904">
      <w:bodyDiv w:val="1"/>
      <w:marLeft w:val="0"/>
      <w:marRight w:val="0"/>
      <w:marTop w:val="0"/>
      <w:marBottom w:val="0"/>
      <w:divBdr>
        <w:top w:val="none" w:sz="0" w:space="0" w:color="auto"/>
        <w:left w:val="none" w:sz="0" w:space="0" w:color="auto"/>
        <w:bottom w:val="none" w:sz="0" w:space="0" w:color="auto"/>
        <w:right w:val="none" w:sz="0" w:space="0" w:color="auto"/>
      </w:divBdr>
    </w:div>
    <w:div w:id="841701996">
      <w:bodyDiv w:val="1"/>
      <w:marLeft w:val="0"/>
      <w:marRight w:val="0"/>
      <w:marTop w:val="0"/>
      <w:marBottom w:val="0"/>
      <w:divBdr>
        <w:top w:val="none" w:sz="0" w:space="0" w:color="auto"/>
        <w:left w:val="none" w:sz="0" w:space="0" w:color="auto"/>
        <w:bottom w:val="none" w:sz="0" w:space="0" w:color="auto"/>
        <w:right w:val="none" w:sz="0" w:space="0" w:color="auto"/>
      </w:divBdr>
    </w:div>
    <w:div w:id="843862508">
      <w:bodyDiv w:val="1"/>
      <w:marLeft w:val="0"/>
      <w:marRight w:val="0"/>
      <w:marTop w:val="0"/>
      <w:marBottom w:val="0"/>
      <w:divBdr>
        <w:top w:val="none" w:sz="0" w:space="0" w:color="auto"/>
        <w:left w:val="none" w:sz="0" w:space="0" w:color="auto"/>
        <w:bottom w:val="none" w:sz="0" w:space="0" w:color="auto"/>
        <w:right w:val="none" w:sz="0" w:space="0" w:color="auto"/>
      </w:divBdr>
    </w:div>
    <w:div w:id="860168919">
      <w:bodyDiv w:val="1"/>
      <w:marLeft w:val="0"/>
      <w:marRight w:val="0"/>
      <w:marTop w:val="0"/>
      <w:marBottom w:val="0"/>
      <w:divBdr>
        <w:top w:val="none" w:sz="0" w:space="0" w:color="auto"/>
        <w:left w:val="none" w:sz="0" w:space="0" w:color="auto"/>
        <w:bottom w:val="none" w:sz="0" w:space="0" w:color="auto"/>
        <w:right w:val="none" w:sz="0" w:space="0" w:color="auto"/>
      </w:divBdr>
    </w:div>
    <w:div w:id="862354494">
      <w:bodyDiv w:val="1"/>
      <w:marLeft w:val="0"/>
      <w:marRight w:val="0"/>
      <w:marTop w:val="0"/>
      <w:marBottom w:val="0"/>
      <w:divBdr>
        <w:top w:val="none" w:sz="0" w:space="0" w:color="auto"/>
        <w:left w:val="none" w:sz="0" w:space="0" w:color="auto"/>
        <w:bottom w:val="none" w:sz="0" w:space="0" w:color="auto"/>
        <w:right w:val="none" w:sz="0" w:space="0" w:color="auto"/>
      </w:divBdr>
    </w:div>
    <w:div w:id="875849442">
      <w:bodyDiv w:val="1"/>
      <w:marLeft w:val="0"/>
      <w:marRight w:val="0"/>
      <w:marTop w:val="0"/>
      <w:marBottom w:val="0"/>
      <w:divBdr>
        <w:top w:val="none" w:sz="0" w:space="0" w:color="auto"/>
        <w:left w:val="none" w:sz="0" w:space="0" w:color="auto"/>
        <w:bottom w:val="none" w:sz="0" w:space="0" w:color="auto"/>
        <w:right w:val="none" w:sz="0" w:space="0" w:color="auto"/>
      </w:divBdr>
    </w:div>
    <w:div w:id="879971952">
      <w:bodyDiv w:val="1"/>
      <w:marLeft w:val="0"/>
      <w:marRight w:val="0"/>
      <w:marTop w:val="0"/>
      <w:marBottom w:val="0"/>
      <w:divBdr>
        <w:top w:val="none" w:sz="0" w:space="0" w:color="auto"/>
        <w:left w:val="none" w:sz="0" w:space="0" w:color="auto"/>
        <w:bottom w:val="none" w:sz="0" w:space="0" w:color="auto"/>
        <w:right w:val="none" w:sz="0" w:space="0" w:color="auto"/>
      </w:divBdr>
    </w:div>
    <w:div w:id="940114273">
      <w:bodyDiv w:val="1"/>
      <w:marLeft w:val="0"/>
      <w:marRight w:val="0"/>
      <w:marTop w:val="0"/>
      <w:marBottom w:val="0"/>
      <w:divBdr>
        <w:top w:val="none" w:sz="0" w:space="0" w:color="auto"/>
        <w:left w:val="none" w:sz="0" w:space="0" w:color="auto"/>
        <w:bottom w:val="none" w:sz="0" w:space="0" w:color="auto"/>
        <w:right w:val="none" w:sz="0" w:space="0" w:color="auto"/>
      </w:divBdr>
    </w:div>
    <w:div w:id="955914138">
      <w:bodyDiv w:val="1"/>
      <w:marLeft w:val="0"/>
      <w:marRight w:val="0"/>
      <w:marTop w:val="0"/>
      <w:marBottom w:val="0"/>
      <w:divBdr>
        <w:top w:val="none" w:sz="0" w:space="0" w:color="auto"/>
        <w:left w:val="none" w:sz="0" w:space="0" w:color="auto"/>
        <w:bottom w:val="none" w:sz="0" w:space="0" w:color="auto"/>
        <w:right w:val="none" w:sz="0" w:space="0" w:color="auto"/>
      </w:divBdr>
    </w:div>
    <w:div w:id="974985779">
      <w:bodyDiv w:val="1"/>
      <w:marLeft w:val="0"/>
      <w:marRight w:val="0"/>
      <w:marTop w:val="0"/>
      <w:marBottom w:val="0"/>
      <w:divBdr>
        <w:top w:val="none" w:sz="0" w:space="0" w:color="auto"/>
        <w:left w:val="none" w:sz="0" w:space="0" w:color="auto"/>
        <w:bottom w:val="none" w:sz="0" w:space="0" w:color="auto"/>
        <w:right w:val="none" w:sz="0" w:space="0" w:color="auto"/>
      </w:divBdr>
    </w:div>
    <w:div w:id="992030736">
      <w:bodyDiv w:val="1"/>
      <w:marLeft w:val="0"/>
      <w:marRight w:val="0"/>
      <w:marTop w:val="0"/>
      <w:marBottom w:val="0"/>
      <w:divBdr>
        <w:top w:val="none" w:sz="0" w:space="0" w:color="auto"/>
        <w:left w:val="none" w:sz="0" w:space="0" w:color="auto"/>
        <w:bottom w:val="none" w:sz="0" w:space="0" w:color="auto"/>
        <w:right w:val="none" w:sz="0" w:space="0" w:color="auto"/>
      </w:divBdr>
    </w:div>
    <w:div w:id="1003119412">
      <w:bodyDiv w:val="1"/>
      <w:marLeft w:val="0"/>
      <w:marRight w:val="0"/>
      <w:marTop w:val="0"/>
      <w:marBottom w:val="0"/>
      <w:divBdr>
        <w:top w:val="none" w:sz="0" w:space="0" w:color="auto"/>
        <w:left w:val="none" w:sz="0" w:space="0" w:color="auto"/>
        <w:bottom w:val="none" w:sz="0" w:space="0" w:color="auto"/>
        <w:right w:val="none" w:sz="0" w:space="0" w:color="auto"/>
      </w:divBdr>
    </w:div>
    <w:div w:id="1029337085">
      <w:bodyDiv w:val="1"/>
      <w:marLeft w:val="0"/>
      <w:marRight w:val="0"/>
      <w:marTop w:val="0"/>
      <w:marBottom w:val="0"/>
      <w:divBdr>
        <w:top w:val="none" w:sz="0" w:space="0" w:color="auto"/>
        <w:left w:val="none" w:sz="0" w:space="0" w:color="auto"/>
        <w:bottom w:val="none" w:sz="0" w:space="0" w:color="auto"/>
        <w:right w:val="none" w:sz="0" w:space="0" w:color="auto"/>
      </w:divBdr>
    </w:div>
    <w:div w:id="1079062135">
      <w:bodyDiv w:val="1"/>
      <w:marLeft w:val="0"/>
      <w:marRight w:val="0"/>
      <w:marTop w:val="0"/>
      <w:marBottom w:val="0"/>
      <w:divBdr>
        <w:top w:val="none" w:sz="0" w:space="0" w:color="auto"/>
        <w:left w:val="none" w:sz="0" w:space="0" w:color="auto"/>
        <w:bottom w:val="none" w:sz="0" w:space="0" w:color="auto"/>
        <w:right w:val="none" w:sz="0" w:space="0" w:color="auto"/>
      </w:divBdr>
      <w:divsChild>
        <w:div w:id="2040812401">
          <w:marLeft w:val="0"/>
          <w:marRight w:val="0"/>
          <w:marTop w:val="0"/>
          <w:marBottom w:val="0"/>
          <w:divBdr>
            <w:top w:val="none" w:sz="0" w:space="0" w:color="auto"/>
            <w:left w:val="none" w:sz="0" w:space="0" w:color="auto"/>
            <w:bottom w:val="none" w:sz="0" w:space="0" w:color="auto"/>
            <w:right w:val="none" w:sz="0" w:space="0" w:color="auto"/>
          </w:divBdr>
        </w:div>
        <w:div w:id="356856076">
          <w:marLeft w:val="0"/>
          <w:marRight w:val="0"/>
          <w:marTop w:val="0"/>
          <w:marBottom w:val="0"/>
          <w:divBdr>
            <w:top w:val="none" w:sz="0" w:space="0" w:color="auto"/>
            <w:left w:val="none" w:sz="0" w:space="0" w:color="auto"/>
            <w:bottom w:val="none" w:sz="0" w:space="0" w:color="auto"/>
            <w:right w:val="none" w:sz="0" w:space="0" w:color="auto"/>
          </w:divBdr>
        </w:div>
      </w:divsChild>
    </w:div>
    <w:div w:id="1084961433">
      <w:bodyDiv w:val="1"/>
      <w:marLeft w:val="0"/>
      <w:marRight w:val="0"/>
      <w:marTop w:val="0"/>
      <w:marBottom w:val="0"/>
      <w:divBdr>
        <w:top w:val="none" w:sz="0" w:space="0" w:color="auto"/>
        <w:left w:val="none" w:sz="0" w:space="0" w:color="auto"/>
        <w:bottom w:val="none" w:sz="0" w:space="0" w:color="auto"/>
        <w:right w:val="none" w:sz="0" w:space="0" w:color="auto"/>
      </w:divBdr>
    </w:div>
    <w:div w:id="1086151358">
      <w:bodyDiv w:val="1"/>
      <w:marLeft w:val="0"/>
      <w:marRight w:val="0"/>
      <w:marTop w:val="0"/>
      <w:marBottom w:val="0"/>
      <w:divBdr>
        <w:top w:val="none" w:sz="0" w:space="0" w:color="auto"/>
        <w:left w:val="none" w:sz="0" w:space="0" w:color="auto"/>
        <w:bottom w:val="none" w:sz="0" w:space="0" w:color="auto"/>
        <w:right w:val="none" w:sz="0" w:space="0" w:color="auto"/>
      </w:divBdr>
    </w:div>
    <w:div w:id="1098797788">
      <w:bodyDiv w:val="1"/>
      <w:marLeft w:val="0"/>
      <w:marRight w:val="0"/>
      <w:marTop w:val="0"/>
      <w:marBottom w:val="0"/>
      <w:divBdr>
        <w:top w:val="none" w:sz="0" w:space="0" w:color="auto"/>
        <w:left w:val="none" w:sz="0" w:space="0" w:color="auto"/>
        <w:bottom w:val="none" w:sz="0" w:space="0" w:color="auto"/>
        <w:right w:val="none" w:sz="0" w:space="0" w:color="auto"/>
      </w:divBdr>
    </w:div>
    <w:div w:id="1129208552">
      <w:bodyDiv w:val="1"/>
      <w:marLeft w:val="0"/>
      <w:marRight w:val="0"/>
      <w:marTop w:val="0"/>
      <w:marBottom w:val="0"/>
      <w:divBdr>
        <w:top w:val="none" w:sz="0" w:space="0" w:color="auto"/>
        <w:left w:val="none" w:sz="0" w:space="0" w:color="auto"/>
        <w:bottom w:val="none" w:sz="0" w:space="0" w:color="auto"/>
        <w:right w:val="none" w:sz="0" w:space="0" w:color="auto"/>
      </w:divBdr>
    </w:div>
    <w:div w:id="1141072434">
      <w:bodyDiv w:val="1"/>
      <w:marLeft w:val="0"/>
      <w:marRight w:val="0"/>
      <w:marTop w:val="0"/>
      <w:marBottom w:val="0"/>
      <w:divBdr>
        <w:top w:val="none" w:sz="0" w:space="0" w:color="auto"/>
        <w:left w:val="none" w:sz="0" w:space="0" w:color="auto"/>
        <w:bottom w:val="none" w:sz="0" w:space="0" w:color="auto"/>
        <w:right w:val="none" w:sz="0" w:space="0" w:color="auto"/>
      </w:divBdr>
    </w:div>
    <w:div w:id="1143542395">
      <w:bodyDiv w:val="1"/>
      <w:marLeft w:val="0"/>
      <w:marRight w:val="0"/>
      <w:marTop w:val="0"/>
      <w:marBottom w:val="0"/>
      <w:divBdr>
        <w:top w:val="none" w:sz="0" w:space="0" w:color="auto"/>
        <w:left w:val="none" w:sz="0" w:space="0" w:color="auto"/>
        <w:bottom w:val="none" w:sz="0" w:space="0" w:color="auto"/>
        <w:right w:val="none" w:sz="0" w:space="0" w:color="auto"/>
      </w:divBdr>
    </w:div>
    <w:div w:id="1152913209">
      <w:bodyDiv w:val="1"/>
      <w:marLeft w:val="0"/>
      <w:marRight w:val="0"/>
      <w:marTop w:val="0"/>
      <w:marBottom w:val="0"/>
      <w:divBdr>
        <w:top w:val="none" w:sz="0" w:space="0" w:color="auto"/>
        <w:left w:val="none" w:sz="0" w:space="0" w:color="auto"/>
        <w:bottom w:val="none" w:sz="0" w:space="0" w:color="auto"/>
        <w:right w:val="none" w:sz="0" w:space="0" w:color="auto"/>
      </w:divBdr>
    </w:div>
    <w:div w:id="1156846169">
      <w:bodyDiv w:val="1"/>
      <w:marLeft w:val="0"/>
      <w:marRight w:val="0"/>
      <w:marTop w:val="0"/>
      <w:marBottom w:val="0"/>
      <w:divBdr>
        <w:top w:val="none" w:sz="0" w:space="0" w:color="auto"/>
        <w:left w:val="none" w:sz="0" w:space="0" w:color="auto"/>
        <w:bottom w:val="none" w:sz="0" w:space="0" w:color="auto"/>
        <w:right w:val="none" w:sz="0" w:space="0" w:color="auto"/>
      </w:divBdr>
    </w:div>
    <w:div w:id="1173764541">
      <w:bodyDiv w:val="1"/>
      <w:marLeft w:val="0"/>
      <w:marRight w:val="0"/>
      <w:marTop w:val="0"/>
      <w:marBottom w:val="0"/>
      <w:divBdr>
        <w:top w:val="none" w:sz="0" w:space="0" w:color="auto"/>
        <w:left w:val="none" w:sz="0" w:space="0" w:color="auto"/>
        <w:bottom w:val="none" w:sz="0" w:space="0" w:color="auto"/>
        <w:right w:val="none" w:sz="0" w:space="0" w:color="auto"/>
      </w:divBdr>
    </w:div>
    <w:div w:id="1176767938">
      <w:bodyDiv w:val="1"/>
      <w:marLeft w:val="0"/>
      <w:marRight w:val="0"/>
      <w:marTop w:val="0"/>
      <w:marBottom w:val="0"/>
      <w:divBdr>
        <w:top w:val="none" w:sz="0" w:space="0" w:color="auto"/>
        <w:left w:val="none" w:sz="0" w:space="0" w:color="auto"/>
        <w:bottom w:val="none" w:sz="0" w:space="0" w:color="auto"/>
        <w:right w:val="none" w:sz="0" w:space="0" w:color="auto"/>
      </w:divBdr>
    </w:div>
    <w:div w:id="1185903604">
      <w:bodyDiv w:val="1"/>
      <w:marLeft w:val="0"/>
      <w:marRight w:val="0"/>
      <w:marTop w:val="0"/>
      <w:marBottom w:val="0"/>
      <w:divBdr>
        <w:top w:val="none" w:sz="0" w:space="0" w:color="auto"/>
        <w:left w:val="none" w:sz="0" w:space="0" w:color="auto"/>
        <w:bottom w:val="none" w:sz="0" w:space="0" w:color="auto"/>
        <w:right w:val="none" w:sz="0" w:space="0" w:color="auto"/>
      </w:divBdr>
    </w:div>
    <w:div w:id="1190874389">
      <w:bodyDiv w:val="1"/>
      <w:marLeft w:val="0"/>
      <w:marRight w:val="0"/>
      <w:marTop w:val="0"/>
      <w:marBottom w:val="0"/>
      <w:divBdr>
        <w:top w:val="none" w:sz="0" w:space="0" w:color="auto"/>
        <w:left w:val="none" w:sz="0" w:space="0" w:color="auto"/>
        <w:bottom w:val="none" w:sz="0" w:space="0" w:color="auto"/>
        <w:right w:val="none" w:sz="0" w:space="0" w:color="auto"/>
      </w:divBdr>
    </w:div>
    <w:div w:id="1246765773">
      <w:bodyDiv w:val="1"/>
      <w:marLeft w:val="0"/>
      <w:marRight w:val="0"/>
      <w:marTop w:val="0"/>
      <w:marBottom w:val="0"/>
      <w:divBdr>
        <w:top w:val="none" w:sz="0" w:space="0" w:color="auto"/>
        <w:left w:val="none" w:sz="0" w:space="0" w:color="auto"/>
        <w:bottom w:val="none" w:sz="0" w:space="0" w:color="auto"/>
        <w:right w:val="none" w:sz="0" w:space="0" w:color="auto"/>
      </w:divBdr>
    </w:div>
    <w:div w:id="1247610694">
      <w:bodyDiv w:val="1"/>
      <w:marLeft w:val="0"/>
      <w:marRight w:val="0"/>
      <w:marTop w:val="0"/>
      <w:marBottom w:val="0"/>
      <w:divBdr>
        <w:top w:val="none" w:sz="0" w:space="0" w:color="auto"/>
        <w:left w:val="none" w:sz="0" w:space="0" w:color="auto"/>
        <w:bottom w:val="none" w:sz="0" w:space="0" w:color="auto"/>
        <w:right w:val="none" w:sz="0" w:space="0" w:color="auto"/>
      </w:divBdr>
    </w:div>
    <w:div w:id="1249583548">
      <w:bodyDiv w:val="1"/>
      <w:marLeft w:val="0"/>
      <w:marRight w:val="0"/>
      <w:marTop w:val="0"/>
      <w:marBottom w:val="0"/>
      <w:divBdr>
        <w:top w:val="none" w:sz="0" w:space="0" w:color="auto"/>
        <w:left w:val="none" w:sz="0" w:space="0" w:color="auto"/>
        <w:bottom w:val="none" w:sz="0" w:space="0" w:color="auto"/>
        <w:right w:val="none" w:sz="0" w:space="0" w:color="auto"/>
      </w:divBdr>
    </w:div>
    <w:div w:id="1254438523">
      <w:bodyDiv w:val="1"/>
      <w:marLeft w:val="0"/>
      <w:marRight w:val="0"/>
      <w:marTop w:val="0"/>
      <w:marBottom w:val="0"/>
      <w:divBdr>
        <w:top w:val="none" w:sz="0" w:space="0" w:color="auto"/>
        <w:left w:val="none" w:sz="0" w:space="0" w:color="auto"/>
        <w:bottom w:val="none" w:sz="0" w:space="0" w:color="auto"/>
        <w:right w:val="none" w:sz="0" w:space="0" w:color="auto"/>
      </w:divBdr>
    </w:div>
    <w:div w:id="1277716343">
      <w:bodyDiv w:val="1"/>
      <w:marLeft w:val="0"/>
      <w:marRight w:val="0"/>
      <w:marTop w:val="0"/>
      <w:marBottom w:val="0"/>
      <w:divBdr>
        <w:top w:val="none" w:sz="0" w:space="0" w:color="auto"/>
        <w:left w:val="none" w:sz="0" w:space="0" w:color="auto"/>
        <w:bottom w:val="none" w:sz="0" w:space="0" w:color="auto"/>
        <w:right w:val="none" w:sz="0" w:space="0" w:color="auto"/>
      </w:divBdr>
    </w:div>
    <w:div w:id="1287197856">
      <w:bodyDiv w:val="1"/>
      <w:marLeft w:val="0"/>
      <w:marRight w:val="0"/>
      <w:marTop w:val="0"/>
      <w:marBottom w:val="0"/>
      <w:divBdr>
        <w:top w:val="none" w:sz="0" w:space="0" w:color="auto"/>
        <w:left w:val="none" w:sz="0" w:space="0" w:color="auto"/>
        <w:bottom w:val="none" w:sz="0" w:space="0" w:color="auto"/>
        <w:right w:val="none" w:sz="0" w:space="0" w:color="auto"/>
      </w:divBdr>
    </w:div>
    <w:div w:id="1306161906">
      <w:bodyDiv w:val="1"/>
      <w:marLeft w:val="0"/>
      <w:marRight w:val="0"/>
      <w:marTop w:val="0"/>
      <w:marBottom w:val="0"/>
      <w:divBdr>
        <w:top w:val="none" w:sz="0" w:space="0" w:color="auto"/>
        <w:left w:val="none" w:sz="0" w:space="0" w:color="auto"/>
        <w:bottom w:val="none" w:sz="0" w:space="0" w:color="auto"/>
        <w:right w:val="none" w:sz="0" w:space="0" w:color="auto"/>
      </w:divBdr>
    </w:div>
    <w:div w:id="1317147742">
      <w:bodyDiv w:val="1"/>
      <w:marLeft w:val="0"/>
      <w:marRight w:val="0"/>
      <w:marTop w:val="0"/>
      <w:marBottom w:val="0"/>
      <w:divBdr>
        <w:top w:val="none" w:sz="0" w:space="0" w:color="auto"/>
        <w:left w:val="none" w:sz="0" w:space="0" w:color="auto"/>
        <w:bottom w:val="none" w:sz="0" w:space="0" w:color="auto"/>
        <w:right w:val="none" w:sz="0" w:space="0" w:color="auto"/>
      </w:divBdr>
    </w:div>
    <w:div w:id="1350982406">
      <w:bodyDiv w:val="1"/>
      <w:marLeft w:val="0"/>
      <w:marRight w:val="0"/>
      <w:marTop w:val="0"/>
      <w:marBottom w:val="0"/>
      <w:divBdr>
        <w:top w:val="none" w:sz="0" w:space="0" w:color="auto"/>
        <w:left w:val="none" w:sz="0" w:space="0" w:color="auto"/>
        <w:bottom w:val="none" w:sz="0" w:space="0" w:color="auto"/>
        <w:right w:val="none" w:sz="0" w:space="0" w:color="auto"/>
      </w:divBdr>
    </w:div>
    <w:div w:id="1356618847">
      <w:bodyDiv w:val="1"/>
      <w:marLeft w:val="0"/>
      <w:marRight w:val="0"/>
      <w:marTop w:val="0"/>
      <w:marBottom w:val="0"/>
      <w:divBdr>
        <w:top w:val="none" w:sz="0" w:space="0" w:color="auto"/>
        <w:left w:val="none" w:sz="0" w:space="0" w:color="auto"/>
        <w:bottom w:val="none" w:sz="0" w:space="0" w:color="auto"/>
        <w:right w:val="none" w:sz="0" w:space="0" w:color="auto"/>
      </w:divBdr>
    </w:div>
    <w:div w:id="1357461010">
      <w:bodyDiv w:val="1"/>
      <w:marLeft w:val="0"/>
      <w:marRight w:val="0"/>
      <w:marTop w:val="0"/>
      <w:marBottom w:val="0"/>
      <w:divBdr>
        <w:top w:val="none" w:sz="0" w:space="0" w:color="auto"/>
        <w:left w:val="none" w:sz="0" w:space="0" w:color="auto"/>
        <w:bottom w:val="none" w:sz="0" w:space="0" w:color="auto"/>
        <w:right w:val="none" w:sz="0" w:space="0" w:color="auto"/>
      </w:divBdr>
    </w:div>
    <w:div w:id="1362629874">
      <w:bodyDiv w:val="1"/>
      <w:marLeft w:val="0"/>
      <w:marRight w:val="0"/>
      <w:marTop w:val="0"/>
      <w:marBottom w:val="0"/>
      <w:divBdr>
        <w:top w:val="none" w:sz="0" w:space="0" w:color="auto"/>
        <w:left w:val="none" w:sz="0" w:space="0" w:color="auto"/>
        <w:bottom w:val="none" w:sz="0" w:space="0" w:color="auto"/>
        <w:right w:val="none" w:sz="0" w:space="0" w:color="auto"/>
      </w:divBdr>
    </w:div>
    <w:div w:id="1394700021">
      <w:bodyDiv w:val="1"/>
      <w:marLeft w:val="0"/>
      <w:marRight w:val="0"/>
      <w:marTop w:val="0"/>
      <w:marBottom w:val="0"/>
      <w:divBdr>
        <w:top w:val="none" w:sz="0" w:space="0" w:color="auto"/>
        <w:left w:val="none" w:sz="0" w:space="0" w:color="auto"/>
        <w:bottom w:val="none" w:sz="0" w:space="0" w:color="auto"/>
        <w:right w:val="none" w:sz="0" w:space="0" w:color="auto"/>
      </w:divBdr>
    </w:div>
    <w:div w:id="1400130354">
      <w:bodyDiv w:val="1"/>
      <w:marLeft w:val="0"/>
      <w:marRight w:val="0"/>
      <w:marTop w:val="0"/>
      <w:marBottom w:val="0"/>
      <w:divBdr>
        <w:top w:val="none" w:sz="0" w:space="0" w:color="auto"/>
        <w:left w:val="none" w:sz="0" w:space="0" w:color="auto"/>
        <w:bottom w:val="none" w:sz="0" w:space="0" w:color="auto"/>
        <w:right w:val="none" w:sz="0" w:space="0" w:color="auto"/>
      </w:divBdr>
    </w:div>
    <w:div w:id="1436486797">
      <w:bodyDiv w:val="1"/>
      <w:marLeft w:val="0"/>
      <w:marRight w:val="0"/>
      <w:marTop w:val="0"/>
      <w:marBottom w:val="0"/>
      <w:divBdr>
        <w:top w:val="none" w:sz="0" w:space="0" w:color="auto"/>
        <w:left w:val="none" w:sz="0" w:space="0" w:color="auto"/>
        <w:bottom w:val="none" w:sz="0" w:space="0" w:color="auto"/>
        <w:right w:val="none" w:sz="0" w:space="0" w:color="auto"/>
      </w:divBdr>
    </w:div>
    <w:div w:id="1476680468">
      <w:bodyDiv w:val="1"/>
      <w:marLeft w:val="0"/>
      <w:marRight w:val="0"/>
      <w:marTop w:val="0"/>
      <w:marBottom w:val="0"/>
      <w:divBdr>
        <w:top w:val="none" w:sz="0" w:space="0" w:color="auto"/>
        <w:left w:val="none" w:sz="0" w:space="0" w:color="auto"/>
        <w:bottom w:val="none" w:sz="0" w:space="0" w:color="auto"/>
        <w:right w:val="none" w:sz="0" w:space="0" w:color="auto"/>
      </w:divBdr>
    </w:div>
    <w:div w:id="1489518270">
      <w:bodyDiv w:val="1"/>
      <w:marLeft w:val="0"/>
      <w:marRight w:val="0"/>
      <w:marTop w:val="0"/>
      <w:marBottom w:val="0"/>
      <w:divBdr>
        <w:top w:val="none" w:sz="0" w:space="0" w:color="auto"/>
        <w:left w:val="none" w:sz="0" w:space="0" w:color="auto"/>
        <w:bottom w:val="none" w:sz="0" w:space="0" w:color="auto"/>
        <w:right w:val="none" w:sz="0" w:space="0" w:color="auto"/>
      </w:divBdr>
    </w:div>
    <w:div w:id="1507938845">
      <w:bodyDiv w:val="1"/>
      <w:marLeft w:val="0"/>
      <w:marRight w:val="0"/>
      <w:marTop w:val="0"/>
      <w:marBottom w:val="0"/>
      <w:divBdr>
        <w:top w:val="none" w:sz="0" w:space="0" w:color="auto"/>
        <w:left w:val="none" w:sz="0" w:space="0" w:color="auto"/>
        <w:bottom w:val="none" w:sz="0" w:space="0" w:color="auto"/>
        <w:right w:val="none" w:sz="0" w:space="0" w:color="auto"/>
      </w:divBdr>
      <w:divsChild>
        <w:div w:id="472260202">
          <w:marLeft w:val="0"/>
          <w:marRight w:val="0"/>
          <w:marTop w:val="0"/>
          <w:marBottom w:val="0"/>
          <w:divBdr>
            <w:top w:val="none" w:sz="0" w:space="0" w:color="auto"/>
            <w:left w:val="none" w:sz="0" w:space="0" w:color="auto"/>
            <w:bottom w:val="none" w:sz="0" w:space="0" w:color="auto"/>
            <w:right w:val="none" w:sz="0" w:space="0" w:color="auto"/>
          </w:divBdr>
          <w:divsChild>
            <w:div w:id="1210074247">
              <w:marLeft w:val="0"/>
              <w:marRight w:val="0"/>
              <w:marTop w:val="0"/>
              <w:marBottom w:val="0"/>
              <w:divBdr>
                <w:top w:val="none" w:sz="0" w:space="0" w:color="auto"/>
                <w:left w:val="none" w:sz="0" w:space="0" w:color="auto"/>
                <w:bottom w:val="none" w:sz="0" w:space="0" w:color="auto"/>
                <w:right w:val="none" w:sz="0" w:space="0" w:color="auto"/>
              </w:divBdr>
              <w:divsChild>
                <w:div w:id="17594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53960">
      <w:bodyDiv w:val="1"/>
      <w:marLeft w:val="0"/>
      <w:marRight w:val="0"/>
      <w:marTop w:val="0"/>
      <w:marBottom w:val="0"/>
      <w:divBdr>
        <w:top w:val="none" w:sz="0" w:space="0" w:color="auto"/>
        <w:left w:val="none" w:sz="0" w:space="0" w:color="auto"/>
        <w:bottom w:val="none" w:sz="0" w:space="0" w:color="auto"/>
        <w:right w:val="none" w:sz="0" w:space="0" w:color="auto"/>
      </w:divBdr>
    </w:div>
    <w:div w:id="1525249639">
      <w:bodyDiv w:val="1"/>
      <w:marLeft w:val="0"/>
      <w:marRight w:val="0"/>
      <w:marTop w:val="0"/>
      <w:marBottom w:val="0"/>
      <w:divBdr>
        <w:top w:val="none" w:sz="0" w:space="0" w:color="auto"/>
        <w:left w:val="none" w:sz="0" w:space="0" w:color="auto"/>
        <w:bottom w:val="none" w:sz="0" w:space="0" w:color="auto"/>
        <w:right w:val="none" w:sz="0" w:space="0" w:color="auto"/>
      </w:divBdr>
    </w:div>
    <w:div w:id="1534927089">
      <w:bodyDiv w:val="1"/>
      <w:marLeft w:val="0"/>
      <w:marRight w:val="0"/>
      <w:marTop w:val="0"/>
      <w:marBottom w:val="0"/>
      <w:divBdr>
        <w:top w:val="none" w:sz="0" w:space="0" w:color="auto"/>
        <w:left w:val="none" w:sz="0" w:space="0" w:color="auto"/>
        <w:bottom w:val="none" w:sz="0" w:space="0" w:color="auto"/>
        <w:right w:val="none" w:sz="0" w:space="0" w:color="auto"/>
      </w:divBdr>
    </w:div>
    <w:div w:id="1556896448">
      <w:bodyDiv w:val="1"/>
      <w:marLeft w:val="0"/>
      <w:marRight w:val="0"/>
      <w:marTop w:val="0"/>
      <w:marBottom w:val="0"/>
      <w:divBdr>
        <w:top w:val="none" w:sz="0" w:space="0" w:color="auto"/>
        <w:left w:val="none" w:sz="0" w:space="0" w:color="auto"/>
        <w:bottom w:val="none" w:sz="0" w:space="0" w:color="auto"/>
        <w:right w:val="none" w:sz="0" w:space="0" w:color="auto"/>
      </w:divBdr>
    </w:div>
    <w:div w:id="1576161537">
      <w:bodyDiv w:val="1"/>
      <w:marLeft w:val="0"/>
      <w:marRight w:val="0"/>
      <w:marTop w:val="0"/>
      <w:marBottom w:val="0"/>
      <w:divBdr>
        <w:top w:val="none" w:sz="0" w:space="0" w:color="auto"/>
        <w:left w:val="none" w:sz="0" w:space="0" w:color="auto"/>
        <w:bottom w:val="none" w:sz="0" w:space="0" w:color="auto"/>
        <w:right w:val="none" w:sz="0" w:space="0" w:color="auto"/>
      </w:divBdr>
    </w:div>
    <w:div w:id="1578204429">
      <w:bodyDiv w:val="1"/>
      <w:marLeft w:val="0"/>
      <w:marRight w:val="0"/>
      <w:marTop w:val="0"/>
      <w:marBottom w:val="0"/>
      <w:divBdr>
        <w:top w:val="none" w:sz="0" w:space="0" w:color="auto"/>
        <w:left w:val="none" w:sz="0" w:space="0" w:color="auto"/>
        <w:bottom w:val="none" w:sz="0" w:space="0" w:color="auto"/>
        <w:right w:val="none" w:sz="0" w:space="0" w:color="auto"/>
      </w:divBdr>
    </w:div>
    <w:div w:id="1584799924">
      <w:bodyDiv w:val="1"/>
      <w:marLeft w:val="0"/>
      <w:marRight w:val="0"/>
      <w:marTop w:val="0"/>
      <w:marBottom w:val="0"/>
      <w:divBdr>
        <w:top w:val="none" w:sz="0" w:space="0" w:color="auto"/>
        <w:left w:val="none" w:sz="0" w:space="0" w:color="auto"/>
        <w:bottom w:val="none" w:sz="0" w:space="0" w:color="auto"/>
        <w:right w:val="none" w:sz="0" w:space="0" w:color="auto"/>
      </w:divBdr>
    </w:div>
    <w:div w:id="1593003566">
      <w:bodyDiv w:val="1"/>
      <w:marLeft w:val="0"/>
      <w:marRight w:val="0"/>
      <w:marTop w:val="0"/>
      <w:marBottom w:val="0"/>
      <w:divBdr>
        <w:top w:val="none" w:sz="0" w:space="0" w:color="auto"/>
        <w:left w:val="none" w:sz="0" w:space="0" w:color="auto"/>
        <w:bottom w:val="none" w:sz="0" w:space="0" w:color="auto"/>
        <w:right w:val="none" w:sz="0" w:space="0" w:color="auto"/>
      </w:divBdr>
    </w:div>
    <w:div w:id="1615289389">
      <w:bodyDiv w:val="1"/>
      <w:marLeft w:val="0"/>
      <w:marRight w:val="0"/>
      <w:marTop w:val="0"/>
      <w:marBottom w:val="0"/>
      <w:divBdr>
        <w:top w:val="none" w:sz="0" w:space="0" w:color="auto"/>
        <w:left w:val="none" w:sz="0" w:space="0" w:color="auto"/>
        <w:bottom w:val="none" w:sz="0" w:space="0" w:color="auto"/>
        <w:right w:val="none" w:sz="0" w:space="0" w:color="auto"/>
      </w:divBdr>
    </w:div>
    <w:div w:id="1626690574">
      <w:bodyDiv w:val="1"/>
      <w:marLeft w:val="0"/>
      <w:marRight w:val="0"/>
      <w:marTop w:val="0"/>
      <w:marBottom w:val="0"/>
      <w:divBdr>
        <w:top w:val="none" w:sz="0" w:space="0" w:color="auto"/>
        <w:left w:val="none" w:sz="0" w:space="0" w:color="auto"/>
        <w:bottom w:val="none" w:sz="0" w:space="0" w:color="auto"/>
        <w:right w:val="none" w:sz="0" w:space="0" w:color="auto"/>
      </w:divBdr>
    </w:div>
    <w:div w:id="1635451347">
      <w:bodyDiv w:val="1"/>
      <w:marLeft w:val="0"/>
      <w:marRight w:val="0"/>
      <w:marTop w:val="0"/>
      <w:marBottom w:val="0"/>
      <w:divBdr>
        <w:top w:val="none" w:sz="0" w:space="0" w:color="auto"/>
        <w:left w:val="none" w:sz="0" w:space="0" w:color="auto"/>
        <w:bottom w:val="none" w:sz="0" w:space="0" w:color="auto"/>
        <w:right w:val="none" w:sz="0" w:space="0" w:color="auto"/>
      </w:divBdr>
    </w:div>
    <w:div w:id="1638946352">
      <w:bodyDiv w:val="1"/>
      <w:marLeft w:val="0"/>
      <w:marRight w:val="0"/>
      <w:marTop w:val="0"/>
      <w:marBottom w:val="0"/>
      <w:divBdr>
        <w:top w:val="none" w:sz="0" w:space="0" w:color="auto"/>
        <w:left w:val="none" w:sz="0" w:space="0" w:color="auto"/>
        <w:bottom w:val="none" w:sz="0" w:space="0" w:color="auto"/>
        <w:right w:val="none" w:sz="0" w:space="0" w:color="auto"/>
      </w:divBdr>
    </w:div>
    <w:div w:id="1640844847">
      <w:bodyDiv w:val="1"/>
      <w:marLeft w:val="0"/>
      <w:marRight w:val="0"/>
      <w:marTop w:val="0"/>
      <w:marBottom w:val="0"/>
      <w:divBdr>
        <w:top w:val="none" w:sz="0" w:space="0" w:color="auto"/>
        <w:left w:val="none" w:sz="0" w:space="0" w:color="auto"/>
        <w:bottom w:val="none" w:sz="0" w:space="0" w:color="auto"/>
        <w:right w:val="none" w:sz="0" w:space="0" w:color="auto"/>
      </w:divBdr>
    </w:div>
    <w:div w:id="1677421855">
      <w:bodyDiv w:val="1"/>
      <w:marLeft w:val="0"/>
      <w:marRight w:val="0"/>
      <w:marTop w:val="0"/>
      <w:marBottom w:val="0"/>
      <w:divBdr>
        <w:top w:val="none" w:sz="0" w:space="0" w:color="auto"/>
        <w:left w:val="none" w:sz="0" w:space="0" w:color="auto"/>
        <w:bottom w:val="none" w:sz="0" w:space="0" w:color="auto"/>
        <w:right w:val="none" w:sz="0" w:space="0" w:color="auto"/>
      </w:divBdr>
    </w:div>
    <w:div w:id="1697346879">
      <w:bodyDiv w:val="1"/>
      <w:marLeft w:val="0"/>
      <w:marRight w:val="0"/>
      <w:marTop w:val="0"/>
      <w:marBottom w:val="0"/>
      <w:divBdr>
        <w:top w:val="none" w:sz="0" w:space="0" w:color="auto"/>
        <w:left w:val="none" w:sz="0" w:space="0" w:color="auto"/>
        <w:bottom w:val="none" w:sz="0" w:space="0" w:color="auto"/>
        <w:right w:val="none" w:sz="0" w:space="0" w:color="auto"/>
      </w:divBdr>
    </w:div>
    <w:div w:id="1698310874">
      <w:bodyDiv w:val="1"/>
      <w:marLeft w:val="0"/>
      <w:marRight w:val="0"/>
      <w:marTop w:val="0"/>
      <w:marBottom w:val="0"/>
      <w:divBdr>
        <w:top w:val="none" w:sz="0" w:space="0" w:color="auto"/>
        <w:left w:val="none" w:sz="0" w:space="0" w:color="auto"/>
        <w:bottom w:val="none" w:sz="0" w:space="0" w:color="auto"/>
        <w:right w:val="none" w:sz="0" w:space="0" w:color="auto"/>
      </w:divBdr>
    </w:div>
    <w:div w:id="1738476118">
      <w:bodyDiv w:val="1"/>
      <w:marLeft w:val="0"/>
      <w:marRight w:val="0"/>
      <w:marTop w:val="0"/>
      <w:marBottom w:val="0"/>
      <w:divBdr>
        <w:top w:val="none" w:sz="0" w:space="0" w:color="auto"/>
        <w:left w:val="none" w:sz="0" w:space="0" w:color="auto"/>
        <w:bottom w:val="none" w:sz="0" w:space="0" w:color="auto"/>
        <w:right w:val="none" w:sz="0" w:space="0" w:color="auto"/>
      </w:divBdr>
    </w:div>
    <w:div w:id="1747797326">
      <w:bodyDiv w:val="1"/>
      <w:marLeft w:val="0"/>
      <w:marRight w:val="0"/>
      <w:marTop w:val="0"/>
      <w:marBottom w:val="0"/>
      <w:divBdr>
        <w:top w:val="none" w:sz="0" w:space="0" w:color="auto"/>
        <w:left w:val="none" w:sz="0" w:space="0" w:color="auto"/>
        <w:bottom w:val="none" w:sz="0" w:space="0" w:color="auto"/>
        <w:right w:val="none" w:sz="0" w:space="0" w:color="auto"/>
      </w:divBdr>
    </w:div>
    <w:div w:id="1754887390">
      <w:bodyDiv w:val="1"/>
      <w:marLeft w:val="0"/>
      <w:marRight w:val="0"/>
      <w:marTop w:val="0"/>
      <w:marBottom w:val="0"/>
      <w:divBdr>
        <w:top w:val="none" w:sz="0" w:space="0" w:color="auto"/>
        <w:left w:val="none" w:sz="0" w:space="0" w:color="auto"/>
        <w:bottom w:val="none" w:sz="0" w:space="0" w:color="auto"/>
        <w:right w:val="none" w:sz="0" w:space="0" w:color="auto"/>
      </w:divBdr>
    </w:div>
    <w:div w:id="1774403232">
      <w:bodyDiv w:val="1"/>
      <w:marLeft w:val="0"/>
      <w:marRight w:val="0"/>
      <w:marTop w:val="0"/>
      <w:marBottom w:val="0"/>
      <w:divBdr>
        <w:top w:val="none" w:sz="0" w:space="0" w:color="auto"/>
        <w:left w:val="none" w:sz="0" w:space="0" w:color="auto"/>
        <w:bottom w:val="none" w:sz="0" w:space="0" w:color="auto"/>
        <w:right w:val="none" w:sz="0" w:space="0" w:color="auto"/>
      </w:divBdr>
    </w:div>
    <w:div w:id="1779909606">
      <w:bodyDiv w:val="1"/>
      <w:marLeft w:val="0"/>
      <w:marRight w:val="0"/>
      <w:marTop w:val="0"/>
      <w:marBottom w:val="0"/>
      <w:divBdr>
        <w:top w:val="none" w:sz="0" w:space="0" w:color="auto"/>
        <w:left w:val="none" w:sz="0" w:space="0" w:color="auto"/>
        <w:bottom w:val="none" w:sz="0" w:space="0" w:color="auto"/>
        <w:right w:val="none" w:sz="0" w:space="0" w:color="auto"/>
      </w:divBdr>
    </w:div>
    <w:div w:id="1840389790">
      <w:bodyDiv w:val="1"/>
      <w:marLeft w:val="0"/>
      <w:marRight w:val="0"/>
      <w:marTop w:val="0"/>
      <w:marBottom w:val="0"/>
      <w:divBdr>
        <w:top w:val="none" w:sz="0" w:space="0" w:color="auto"/>
        <w:left w:val="none" w:sz="0" w:space="0" w:color="auto"/>
        <w:bottom w:val="none" w:sz="0" w:space="0" w:color="auto"/>
        <w:right w:val="none" w:sz="0" w:space="0" w:color="auto"/>
      </w:divBdr>
    </w:div>
    <w:div w:id="1850020799">
      <w:bodyDiv w:val="1"/>
      <w:marLeft w:val="0"/>
      <w:marRight w:val="0"/>
      <w:marTop w:val="0"/>
      <w:marBottom w:val="0"/>
      <w:divBdr>
        <w:top w:val="none" w:sz="0" w:space="0" w:color="auto"/>
        <w:left w:val="none" w:sz="0" w:space="0" w:color="auto"/>
        <w:bottom w:val="none" w:sz="0" w:space="0" w:color="auto"/>
        <w:right w:val="none" w:sz="0" w:space="0" w:color="auto"/>
      </w:divBdr>
    </w:div>
    <w:div w:id="1856386753">
      <w:bodyDiv w:val="1"/>
      <w:marLeft w:val="0"/>
      <w:marRight w:val="0"/>
      <w:marTop w:val="0"/>
      <w:marBottom w:val="0"/>
      <w:divBdr>
        <w:top w:val="none" w:sz="0" w:space="0" w:color="auto"/>
        <w:left w:val="none" w:sz="0" w:space="0" w:color="auto"/>
        <w:bottom w:val="none" w:sz="0" w:space="0" w:color="auto"/>
        <w:right w:val="none" w:sz="0" w:space="0" w:color="auto"/>
      </w:divBdr>
    </w:div>
    <w:div w:id="1858763762">
      <w:bodyDiv w:val="1"/>
      <w:marLeft w:val="0"/>
      <w:marRight w:val="0"/>
      <w:marTop w:val="0"/>
      <w:marBottom w:val="0"/>
      <w:divBdr>
        <w:top w:val="none" w:sz="0" w:space="0" w:color="auto"/>
        <w:left w:val="none" w:sz="0" w:space="0" w:color="auto"/>
        <w:bottom w:val="none" w:sz="0" w:space="0" w:color="auto"/>
        <w:right w:val="none" w:sz="0" w:space="0" w:color="auto"/>
      </w:divBdr>
    </w:div>
    <w:div w:id="1904179129">
      <w:bodyDiv w:val="1"/>
      <w:marLeft w:val="0"/>
      <w:marRight w:val="0"/>
      <w:marTop w:val="0"/>
      <w:marBottom w:val="0"/>
      <w:divBdr>
        <w:top w:val="none" w:sz="0" w:space="0" w:color="auto"/>
        <w:left w:val="none" w:sz="0" w:space="0" w:color="auto"/>
        <w:bottom w:val="none" w:sz="0" w:space="0" w:color="auto"/>
        <w:right w:val="none" w:sz="0" w:space="0" w:color="auto"/>
      </w:divBdr>
    </w:div>
    <w:div w:id="1931352230">
      <w:bodyDiv w:val="1"/>
      <w:marLeft w:val="0"/>
      <w:marRight w:val="0"/>
      <w:marTop w:val="0"/>
      <w:marBottom w:val="0"/>
      <w:divBdr>
        <w:top w:val="none" w:sz="0" w:space="0" w:color="auto"/>
        <w:left w:val="none" w:sz="0" w:space="0" w:color="auto"/>
        <w:bottom w:val="none" w:sz="0" w:space="0" w:color="auto"/>
        <w:right w:val="none" w:sz="0" w:space="0" w:color="auto"/>
      </w:divBdr>
    </w:div>
    <w:div w:id="1969970191">
      <w:bodyDiv w:val="1"/>
      <w:marLeft w:val="0"/>
      <w:marRight w:val="0"/>
      <w:marTop w:val="0"/>
      <w:marBottom w:val="0"/>
      <w:divBdr>
        <w:top w:val="none" w:sz="0" w:space="0" w:color="auto"/>
        <w:left w:val="none" w:sz="0" w:space="0" w:color="auto"/>
        <w:bottom w:val="none" w:sz="0" w:space="0" w:color="auto"/>
        <w:right w:val="none" w:sz="0" w:space="0" w:color="auto"/>
      </w:divBdr>
    </w:div>
    <w:div w:id="1970739919">
      <w:bodyDiv w:val="1"/>
      <w:marLeft w:val="0"/>
      <w:marRight w:val="0"/>
      <w:marTop w:val="0"/>
      <w:marBottom w:val="0"/>
      <w:divBdr>
        <w:top w:val="none" w:sz="0" w:space="0" w:color="auto"/>
        <w:left w:val="none" w:sz="0" w:space="0" w:color="auto"/>
        <w:bottom w:val="none" w:sz="0" w:space="0" w:color="auto"/>
        <w:right w:val="none" w:sz="0" w:space="0" w:color="auto"/>
      </w:divBdr>
    </w:div>
    <w:div w:id="1971284626">
      <w:bodyDiv w:val="1"/>
      <w:marLeft w:val="0"/>
      <w:marRight w:val="0"/>
      <w:marTop w:val="0"/>
      <w:marBottom w:val="0"/>
      <w:divBdr>
        <w:top w:val="none" w:sz="0" w:space="0" w:color="auto"/>
        <w:left w:val="none" w:sz="0" w:space="0" w:color="auto"/>
        <w:bottom w:val="none" w:sz="0" w:space="0" w:color="auto"/>
        <w:right w:val="none" w:sz="0" w:space="0" w:color="auto"/>
      </w:divBdr>
    </w:div>
    <w:div w:id="1975941946">
      <w:bodyDiv w:val="1"/>
      <w:marLeft w:val="0"/>
      <w:marRight w:val="0"/>
      <w:marTop w:val="0"/>
      <w:marBottom w:val="0"/>
      <w:divBdr>
        <w:top w:val="none" w:sz="0" w:space="0" w:color="auto"/>
        <w:left w:val="none" w:sz="0" w:space="0" w:color="auto"/>
        <w:bottom w:val="none" w:sz="0" w:space="0" w:color="auto"/>
        <w:right w:val="none" w:sz="0" w:space="0" w:color="auto"/>
      </w:divBdr>
    </w:div>
    <w:div w:id="1982541038">
      <w:bodyDiv w:val="1"/>
      <w:marLeft w:val="0"/>
      <w:marRight w:val="0"/>
      <w:marTop w:val="0"/>
      <w:marBottom w:val="0"/>
      <w:divBdr>
        <w:top w:val="none" w:sz="0" w:space="0" w:color="auto"/>
        <w:left w:val="none" w:sz="0" w:space="0" w:color="auto"/>
        <w:bottom w:val="none" w:sz="0" w:space="0" w:color="auto"/>
        <w:right w:val="none" w:sz="0" w:space="0" w:color="auto"/>
      </w:divBdr>
    </w:div>
    <w:div w:id="1990816880">
      <w:bodyDiv w:val="1"/>
      <w:marLeft w:val="0"/>
      <w:marRight w:val="0"/>
      <w:marTop w:val="0"/>
      <w:marBottom w:val="0"/>
      <w:divBdr>
        <w:top w:val="none" w:sz="0" w:space="0" w:color="auto"/>
        <w:left w:val="none" w:sz="0" w:space="0" w:color="auto"/>
        <w:bottom w:val="none" w:sz="0" w:space="0" w:color="auto"/>
        <w:right w:val="none" w:sz="0" w:space="0" w:color="auto"/>
      </w:divBdr>
    </w:div>
    <w:div w:id="1994026002">
      <w:bodyDiv w:val="1"/>
      <w:marLeft w:val="0"/>
      <w:marRight w:val="0"/>
      <w:marTop w:val="0"/>
      <w:marBottom w:val="0"/>
      <w:divBdr>
        <w:top w:val="none" w:sz="0" w:space="0" w:color="auto"/>
        <w:left w:val="none" w:sz="0" w:space="0" w:color="auto"/>
        <w:bottom w:val="none" w:sz="0" w:space="0" w:color="auto"/>
        <w:right w:val="none" w:sz="0" w:space="0" w:color="auto"/>
      </w:divBdr>
      <w:divsChild>
        <w:div w:id="881945033">
          <w:marLeft w:val="0"/>
          <w:marRight w:val="0"/>
          <w:marTop w:val="0"/>
          <w:marBottom w:val="0"/>
          <w:divBdr>
            <w:top w:val="none" w:sz="0" w:space="0" w:color="auto"/>
            <w:left w:val="none" w:sz="0" w:space="0" w:color="auto"/>
            <w:bottom w:val="none" w:sz="0" w:space="0" w:color="auto"/>
            <w:right w:val="none" w:sz="0" w:space="0" w:color="auto"/>
          </w:divBdr>
          <w:divsChild>
            <w:div w:id="1633051039">
              <w:marLeft w:val="0"/>
              <w:marRight w:val="0"/>
              <w:marTop w:val="0"/>
              <w:marBottom w:val="0"/>
              <w:divBdr>
                <w:top w:val="none" w:sz="0" w:space="0" w:color="auto"/>
                <w:left w:val="none" w:sz="0" w:space="0" w:color="auto"/>
                <w:bottom w:val="none" w:sz="0" w:space="0" w:color="auto"/>
                <w:right w:val="none" w:sz="0" w:space="0" w:color="auto"/>
              </w:divBdr>
              <w:divsChild>
                <w:div w:id="5974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49566">
      <w:bodyDiv w:val="1"/>
      <w:marLeft w:val="0"/>
      <w:marRight w:val="0"/>
      <w:marTop w:val="0"/>
      <w:marBottom w:val="0"/>
      <w:divBdr>
        <w:top w:val="none" w:sz="0" w:space="0" w:color="auto"/>
        <w:left w:val="none" w:sz="0" w:space="0" w:color="auto"/>
        <w:bottom w:val="none" w:sz="0" w:space="0" w:color="auto"/>
        <w:right w:val="none" w:sz="0" w:space="0" w:color="auto"/>
      </w:divBdr>
    </w:div>
    <w:div w:id="2014526537">
      <w:bodyDiv w:val="1"/>
      <w:marLeft w:val="0"/>
      <w:marRight w:val="0"/>
      <w:marTop w:val="0"/>
      <w:marBottom w:val="0"/>
      <w:divBdr>
        <w:top w:val="none" w:sz="0" w:space="0" w:color="auto"/>
        <w:left w:val="none" w:sz="0" w:space="0" w:color="auto"/>
        <w:bottom w:val="none" w:sz="0" w:space="0" w:color="auto"/>
        <w:right w:val="none" w:sz="0" w:space="0" w:color="auto"/>
      </w:divBdr>
    </w:div>
    <w:div w:id="2014644095">
      <w:bodyDiv w:val="1"/>
      <w:marLeft w:val="0"/>
      <w:marRight w:val="0"/>
      <w:marTop w:val="0"/>
      <w:marBottom w:val="0"/>
      <w:divBdr>
        <w:top w:val="none" w:sz="0" w:space="0" w:color="auto"/>
        <w:left w:val="none" w:sz="0" w:space="0" w:color="auto"/>
        <w:bottom w:val="none" w:sz="0" w:space="0" w:color="auto"/>
        <w:right w:val="none" w:sz="0" w:space="0" w:color="auto"/>
      </w:divBdr>
    </w:div>
    <w:div w:id="2015953436">
      <w:bodyDiv w:val="1"/>
      <w:marLeft w:val="0"/>
      <w:marRight w:val="0"/>
      <w:marTop w:val="0"/>
      <w:marBottom w:val="0"/>
      <w:divBdr>
        <w:top w:val="none" w:sz="0" w:space="0" w:color="auto"/>
        <w:left w:val="none" w:sz="0" w:space="0" w:color="auto"/>
        <w:bottom w:val="none" w:sz="0" w:space="0" w:color="auto"/>
        <w:right w:val="none" w:sz="0" w:space="0" w:color="auto"/>
      </w:divBdr>
    </w:div>
    <w:div w:id="2040617138">
      <w:bodyDiv w:val="1"/>
      <w:marLeft w:val="0"/>
      <w:marRight w:val="0"/>
      <w:marTop w:val="0"/>
      <w:marBottom w:val="0"/>
      <w:divBdr>
        <w:top w:val="none" w:sz="0" w:space="0" w:color="auto"/>
        <w:left w:val="none" w:sz="0" w:space="0" w:color="auto"/>
        <w:bottom w:val="none" w:sz="0" w:space="0" w:color="auto"/>
        <w:right w:val="none" w:sz="0" w:space="0" w:color="auto"/>
      </w:divBdr>
    </w:div>
    <w:div w:id="2054427090">
      <w:bodyDiv w:val="1"/>
      <w:marLeft w:val="0"/>
      <w:marRight w:val="0"/>
      <w:marTop w:val="0"/>
      <w:marBottom w:val="0"/>
      <w:divBdr>
        <w:top w:val="none" w:sz="0" w:space="0" w:color="auto"/>
        <w:left w:val="none" w:sz="0" w:space="0" w:color="auto"/>
        <w:bottom w:val="none" w:sz="0" w:space="0" w:color="auto"/>
        <w:right w:val="none" w:sz="0" w:space="0" w:color="auto"/>
      </w:divBdr>
    </w:div>
    <w:div w:id="2070498416">
      <w:bodyDiv w:val="1"/>
      <w:marLeft w:val="0"/>
      <w:marRight w:val="0"/>
      <w:marTop w:val="0"/>
      <w:marBottom w:val="0"/>
      <w:divBdr>
        <w:top w:val="none" w:sz="0" w:space="0" w:color="auto"/>
        <w:left w:val="none" w:sz="0" w:space="0" w:color="auto"/>
        <w:bottom w:val="none" w:sz="0" w:space="0" w:color="auto"/>
        <w:right w:val="none" w:sz="0" w:space="0" w:color="auto"/>
      </w:divBdr>
    </w:div>
    <w:div w:id="2085643851">
      <w:bodyDiv w:val="1"/>
      <w:marLeft w:val="0"/>
      <w:marRight w:val="0"/>
      <w:marTop w:val="0"/>
      <w:marBottom w:val="0"/>
      <w:divBdr>
        <w:top w:val="none" w:sz="0" w:space="0" w:color="auto"/>
        <w:left w:val="none" w:sz="0" w:space="0" w:color="auto"/>
        <w:bottom w:val="none" w:sz="0" w:space="0" w:color="auto"/>
        <w:right w:val="none" w:sz="0" w:space="0" w:color="auto"/>
      </w:divBdr>
    </w:div>
    <w:div w:id="2088770851">
      <w:bodyDiv w:val="1"/>
      <w:marLeft w:val="0"/>
      <w:marRight w:val="0"/>
      <w:marTop w:val="0"/>
      <w:marBottom w:val="0"/>
      <w:divBdr>
        <w:top w:val="none" w:sz="0" w:space="0" w:color="auto"/>
        <w:left w:val="none" w:sz="0" w:space="0" w:color="auto"/>
        <w:bottom w:val="none" w:sz="0" w:space="0" w:color="auto"/>
        <w:right w:val="none" w:sz="0" w:space="0" w:color="auto"/>
      </w:divBdr>
    </w:div>
    <w:div w:id="2092507268">
      <w:bodyDiv w:val="1"/>
      <w:marLeft w:val="0"/>
      <w:marRight w:val="0"/>
      <w:marTop w:val="0"/>
      <w:marBottom w:val="0"/>
      <w:divBdr>
        <w:top w:val="none" w:sz="0" w:space="0" w:color="auto"/>
        <w:left w:val="none" w:sz="0" w:space="0" w:color="auto"/>
        <w:bottom w:val="none" w:sz="0" w:space="0" w:color="auto"/>
        <w:right w:val="none" w:sz="0" w:space="0" w:color="auto"/>
      </w:divBdr>
    </w:div>
    <w:div w:id="2135367968">
      <w:bodyDiv w:val="1"/>
      <w:marLeft w:val="0"/>
      <w:marRight w:val="0"/>
      <w:marTop w:val="0"/>
      <w:marBottom w:val="0"/>
      <w:divBdr>
        <w:top w:val="none" w:sz="0" w:space="0" w:color="auto"/>
        <w:left w:val="none" w:sz="0" w:space="0" w:color="auto"/>
        <w:bottom w:val="none" w:sz="0" w:space="0" w:color="auto"/>
        <w:right w:val="none" w:sz="0" w:space="0" w:color="auto"/>
      </w:divBdr>
    </w:div>
    <w:div w:id="2146700375">
      <w:bodyDiv w:val="1"/>
      <w:marLeft w:val="0"/>
      <w:marRight w:val="0"/>
      <w:marTop w:val="0"/>
      <w:marBottom w:val="0"/>
      <w:divBdr>
        <w:top w:val="none" w:sz="0" w:space="0" w:color="auto"/>
        <w:left w:val="none" w:sz="0" w:space="0" w:color="auto"/>
        <w:bottom w:val="none" w:sz="0" w:space="0" w:color="auto"/>
        <w:right w:val="none" w:sz="0" w:space="0" w:color="auto"/>
      </w:divBdr>
    </w:div>
    <w:div w:id="214723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ender-pay-gap.service.gov.uk/employers/10665/reporting-year-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nder-pay-gap.service.gov.uk/employers/10667/reporting-year-20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ender-pay-gap.service.gov.uk/employers/15783/reporting-year-202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MEHREDIR\redirect$\MohammedI2\Documents\MAY%202024\GPG\GPG%202024\Gender%20Pay%20Gap%20(GPG)%20and%20Ethnicity%20Pay%20Gap%20(EPG)%20Report%2023-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MEHREDIR\redirect$\MohammedI2\Downloads\Gender_Pay_Gap_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 Pay Gap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'2024 Dataset'!$A$4</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Dataset'!$B$3:$C$3</c:f>
              <c:strCache>
                <c:ptCount val="2"/>
                <c:pt idx="0">
                  <c:v>Avg. Hourly Rate</c:v>
                </c:pt>
                <c:pt idx="1">
                  <c:v>Median Hourly Rate</c:v>
                </c:pt>
              </c:strCache>
            </c:strRef>
          </c:cat>
          <c:val>
            <c:numRef>
              <c:f>'2024 Dataset'!$B$4:$C$4</c:f>
              <c:numCache>
                <c:formatCode>"£"#,##0.00</c:formatCode>
                <c:ptCount val="2"/>
                <c:pt idx="0">
                  <c:v>30.67</c:v>
                </c:pt>
                <c:pt idx="1">
                  <c:v>26.298429319371699</c:v>
                </c:pt>
              </c:numCache>
            </c:numRef>
          </c:val>
          <c:extLst>
            <c:ext xmlns:c16="http://schemas.microsoft.com/office/drawing/2014/chart" uri="{C3380CC4-5D6E-409C-BE32-E72D297353CC}">
              <c16:uniqueId val="{00000000-2680-4D6D-A73A-6F0146BA73E5}"/>
            </c:ext>
          </c:extLst>
        </c:ser>
        <c:ser>
          <c:idx val="1"/>
          <c:order val="1"/>
          <c:tx>
            <c:strRef>
              <c:f>'2024 Dataset'!$A$5</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'2024 Dataset'!$B$3:$C$3</c:f>
              <c:strCache>
                <c:ptCount val="2"/>
                <c:pt idx="0">
                  <c:v>Avg. Hourly Rate</c:v>
                </c:pt>
                <c:pt idx="1">
                  <c:v>Median Hourly Rate</c:v>
                </c:pt>
              </c:strCache>
            </c:strRef>
          </c:cat>
          <c:val>
            <c:numRef>
              <c:f>'2024 Dataset'!$B$5:$C$5</c:f>
              <c:numCache>
                <c:formatCode>"£"#,##0.00</c:formatCode>
                <c:ptCount val="2"/>
                <c:pt idx="0">
                  <c:v>24.157618964991102</c:v>
                </c:pt>
                <c:pt idx="1">
                  <c:v>21.719394108372398</c:v>
                </c:pt>
              </c:numCache>
            </c:numRef>
          </c:val>
          <c:extLst>
            <c:ext xmlns:c16="http://schemas.microsoft.com/office/drawing/2014/chart" uri="{C3380CC4-5D6E-409C-BE32-E72D297353CC}">
              <c16:uniqueId val="{00000001-2680-4D6D-A73A-6F0146BA73E5}"/>
            </c:ext>
          </c:extLst>
        </c:ser>
        <c:dLbls>
          <c:dLblPos val="outEnd"/>
          <c:showLegendKey val="0"/>
          <c:showVal val="1"/>
          <c:showCatName val="0"/>
          <c:showSerName val="0"/>
          <c:showPercent val="0"/>
          <c:showBubbleSize val="0"/>
        </c:dLbls>
        <c:gapWidth val="219"/>
        <c:overlap val="-27"/>
        <c:axId val="1313030303"/>
        <c:axId val="1313025023"/>
      </c:barChart>
      <c:catAx>
        <c:axId val="1313030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3025023"/>
        <c:crosses val="autoZero"/>
        <c:auto val="1"/>
        <c:lblAlgn val="ctr"/>
        <c:lblOffset val="100"/>
        <c:noMultiLvlLbl val="0"/>
      </c:catAx>
      <c:valAx>
        <c:axId val="1313025023"/>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30303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Gender Pay Gap Comparison (2022–2024)</a:t>
            </a:r>
          </a:p>
        </c:rich>
      </c:tx>
      <c:overlay val="0"/>
    </c:title>
    <c:autoTitleDeleted val="0"/>
    <c:plotArea>
      <c:layout/>
      <c:barChart>
        <c:barDir val="col"/>
        <c:grouping val="clustered"/>
        <c:varyColors val="0"/>
        <c:ser>
          <c:idx val="0"/>
          <c:order val="0"/>
          <c:tx>
            <c:v>Mean Pay Gap (%)</c:v>
          </c:tx>
          <c:invertIfNegative val="0"/>
          <c:cat>
            <c:numRef>
              <c:f>'Pay Gap Data'!$A$2:$A$4</c:f>
              <c:numCache>
                <c:formatCode>General</c:formatCode>
                <c:ptCount val="3"/>
                <c:pt idx="0">
                  <c:v>2022</c:v>
                </c:pt>
                <c:pt idx="1">
                  <c:v>2023</c:v>
                </c:pt>
                <c:pt idx="2">
                  <c:v>2024</c:v>
                </c:pt>
              </c:numCache>
            </c:numRef>
          </c:cat>
          <c:val>
            <c:numRef>
              <c:f>'Pay Gap Data'!$B$2:$B$4</c:f>
              <c:numCache>
                <c:formatCode>General</c:formatCode>
                <c:ptCount val="3"/>
                <c:pt idx="0">
                  <c:v>17.36</c:v>
                </c:pt>
                <c:pt idx="1">
                  <c:v>17.86</c:v>
                </c:pt>
                <c:pt idx="2">
                  <c:v>21.23</c:v>
                </c:pt>
              </c:numCache>
            </c:numRef>
          </c:val>
          <c:extLst>
            <c:ext xmlns:c16="http://schemas.microsoft.com/office/drawing/2014/chart" uri="{C3380CC4-5D6E-409C-BE32-E72D297353CC}">
              <c16:uniqueId val="{00000000-7FC3-4679-ADBE-D9A389E08457}"/>
            </c:ext>
          </c:extLst>
        </c:ser>
        <c:ser>
          <c:idx val="1"/>
          <c:order val="1"/>
          <c:tx>
            <c:v>Median Pay Gap (%)</c:v>
          </c:tx>
          <c:invertIfNegative val="0"/>
          <c:cat>
            <c:numRef>
              <c:f>'Pay Gap Data'!$A$2:$A$4</c:f>
              <c:numCache>
                <c:formatCode>General</c:formatCode>
                <c:ptCount val="3"/>
                <c:pt idx="0">
                  <c:v>2022</c:v>
                </c:pt>
                <c:pt idx="1">
                  <c:v>2023</c:v>
                </c:pt>
                <c:pt idx="2">
                  <c:v>2024</c:v>
                </c:pt>
              </c:numCache>
            </c:numRef>
          </c:cat>
          <c:val>
            <c:numRef>
              <c:f>'Pay Gap Data'!$C$2:$C$4</c:f>
              <c:numCache>
                <c:formatCode>General</c:formatCode>
                <c:ptCount val="3"/>
                <c:pt idx="0">
                  <c:v>17.88</c:v>
                </c:pt>
                <c:pt idx="1">
                  <c:v>16.52</c:v>
                </c:pt>
                <c:pt idx="2">
                  <c:v>17.41</c:v>
                </c:pt>
              </c:numCache>
            </c:numRef>
          </c:val>
          <c:extLst>
            <c:ext xmlns:c16="http://schemas.microsoft.com/office/drawing/2014/chart" uri="{C3380CC4-5D6E-409C-BE32-E72D297353CC}">
              <c16:uniqueId val="{00000001-7FC3-4679-ADBE-D9A389E08457}"/>
            </c:ext>
          </c:extLst>
        </c:ser>
        <c:dLbls>
          <c:showLegendKey val="0"/>
          <c:showVal val="0"/>
          <c:showCatName val="0"/>
          <c:showSerName val="0"/>
          <c:showPercent val="0"/>
          <c:showBubbleSize val="0"/>
        </c:dLbls>
        <c:gapWidth val="150"/>
        <c:axId val="50010001"/>
        <c:axId val="50010002"/>
      </c:barChart>
      <c:catAx>
        <c:axId val="50010001"/>
        <c:scaling>
          <c:orientation val="minMax"/>
        </c:scaling>
        <c:delete val="0"/>
        <c:axPos val="b"/>
        <c:title>
          <c:tx>
            <c:rich>
              <a:bodyPr/>
              <a:lstStyle/>
              <a:p>
                <a:pPr>
                  <a:defRPr/>
                </a:pPr>
                <a:r>
                  <a:rPr lang="en-US"/>
                  <a:t>Year</a:t>
                </a:r>
              </a:p>
            </c:rich>
          </c:tx>
          <c:overlay val="0"/>
        </c:title>
        <c:numFmt formatCode="General" sourceLinked="1"/>
        <c:majorTickMark val="out"/>
        <c:minorTickMark val="none"/>
        <c:tickLblPos val="nextTo"/>
        <c:crossAx val="50010002"/>
        <c:crosses val="autoZero"/>
        <c:auto val="1"/>
        <c:lblAlgn val="ctr"/>
        <c:lblOffset val="100"/>
        <c:noMultiLvlLbl val="0"/>
      </c:catAx>
      <c:valAx>
        <c:axId val="50010002"/>
        <c:scaling>
          <c:orientation val="minMax"/>
        </c:scaling>
        <c:delete val="0"/>
        <c:axPos val="l"/>
        <c:majorGridlines/>
        <c:title>
          <c:tx>
            <c:rich>
              <a:bodyPr/>
              <a:lstStyle/>
              <a:p>
                <a:pPr>
                  <a:defRPr/>
                </a:pPr>
                <a:r>
                  <a:rPr lang="en-US"/>
                  <a:t>Pay Gap (%)</a:t>
                </a:r>
              </a:p>
            </c:rich>
          </c:tx>
          <c:overlay val="0"/>
        </c:title>
        <c:numFmt formatCode="General" sourceLinked="1"/>
        <c:majorTickMark val="out"/>
        <c:minorTickMark val="none"/>
        <c:tickLblPos val="nextTo"/>
        <c:crossAx val="50010001"/>
        <c:crosses val="autoZero"/>
        <c:crossBetween val="between"/>
      </c:valAx>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F4F74-AE92-49C2-87E7-F57777EAC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4017</Words>
  <Characters>21937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Wilcox, Heather</dc:creator>
  <cp:lastModifiedBy>ADETUKASI, Ade (MOORFIELDS EYE HOSPITAL NHS FOUNDATION TRUST)</cp:lastModifiedBy>
  <cp:revision>3</cp:revision>
  <cp:lastPrinted>2019-05-16T15:14:00Z</cp:lastPrinted>
  <dcterms:created xsi:type="dcterms:W3CDTF">2025-04-24T18:59:00Z</dcterms:created>
  <dcterms:modified xsi:type="dcterms:W3CDTF">2025-04-24T19:00:00Z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192f4e0b6dc1db31f989031a9c4d19dede841bf09c7239169c223f478cc985e9</vt:lpwstr>
  </property>
</Properties>
</file>